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4A0" w:firstRow="1" w:lastRow="0" w:firstColumn="1" w:lastColumn="0" w:noHBand="0" w:noVBand="1"/>
      </w:tblPr>
      <w:tblGrid>
        <w:gridCol w:w="3369"/>
        <w:gridCol w:w="6095"/>
      </w:tblGrid>
      <w:tr w:rsidR="00D17CEF" w:rsidRPr="003645AA" w:rsidTr="00C024FA">
        <w:tc>
          <w:tcPr>
            <w:tcW w:w="3369" w:type="dxa"/>
          </w:tcPr>
          <w:p w:rsidR="00D17CEF" w:rsidRPr="00D17CEF" w:rsidRDefault="008E33F2" w:rsidP="00381C42">
            <w:pPr>
              <w:pStyle w:val="Heading2"/>
              <w:spacing w:before="0" w:beforeAutospacing="0" w:after="0" w:afterAutospacing="0"/>
              <w:jc w:val="center"/>
              <w:rPr>
                <w:iCs/>
                <w:color w:val="000000" w:themeColor="text1"/>
                <w:sz w:val="26"/>
                <w:szCs w:val="28"/>
              </w:rPr>
            </w:pPr>
            <w:r>
              <w:rPr>
                <w:iCs/>
                <w:color w:val="000000" w:themeColor="text1"/>
                <w:sz w:val="26"/>
                <w:szCs w:val="28"/>
              </w:rPr>
              <w:t>ỦY</w:t>
            </w:r>
            <w:r w:rsidR="00D17CEF" w:rsidRPr="00D17CEF">
              <w:rPr>
                <w:iCs/>
                <w:color w:val="000000" w:themeColor="text1"/>
                <w:sz w:val="26"/>
                <w:szCs w:val="28"/>
              </w:rPr>
              <w:t xml:space="preserve"> BAN NHÂN DÂN</w:t>
            </w:r>
          </w:p>
          <w:p w:rsidR="00D17CEF" w:rsidRPr="003645AA" w:rsidRDefault="005205DD" w:rsidP="00381C42">
            <w:pPr>
              <w:pStyle w:val="Heading2"/>
              <w:spacing w:before="0" w:beforeAutospacing="0" w:after="240" w:afterAutospacing="0"/>
              <w:jc w:val="center"/>
              <w:rPr>
                <w:bCs w:val="0"/>
                <w:color w:val="000000" w:themeColor="text1"/>
                <w:sz w:val="28"/>
                <w:szCs w:val="28"/>
              </w:rPr>
            </w:pPr>
            <w:r>
              <w:rPr>
                <w:noProof/>
                <w:color w:val="000000" w:themeColor="text1"/>
                <w:sz w:val="34"/>
              </w:rPr>
              <mc:AlternateContent>
                <mc:Choice Requires="wps">
                  <w:drawing>
                    <wp:anchor distT="4294967295" distB="4294967295" distL="114300" distR="114300" simplePos="0" relativeHeight="251659264" behindDoc="0" locked="0" layoutInCell="1" allowOverlap="1" wp14:anchorId="66B21B85" wp14:editId="59D6B726">
                      <wp:simplePos x="0" y="0"/>
                      <wp:positionH relativeFrom="column">
                        <wp:posOffset>702227</wp:posOffset>
                      </wp:positionH>
                      <wp:positionV relativeFrom="paragraph">
                        <wp:posOffset>224542</wp:posOffset>
                      </wp:positionV>
                      <wp:extent cx="556591" cy="0"/>
                      <wp:effectExtent l="0" t="0" r="3429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5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F552E" id="Line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3pt,17.7pt" to="99.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"/>
                  </w:pict>
                </mc:Fallback>
              </mc:AlternateContent>
            </w:r>
            <w:r w:rsidR="00D17CEF" w:rsidRPr="00D17CEF">
              <w:rPr>
                <w:bCs w:val="0"/>
                <w:color w:val="000000" w:themeColor="text1"/>
                <w:sz w:val="26"/>
                <w:szCs w:val="28"/>
              </w:rPr>
              <w:t>TỈNH ĐẮK NÔNG</w:t>
            </w:r>
          </w:p>
          <w:p w:rsidR="00D17CEF" w:rsidRPr="003645AA" w:rsidRDefault="00D17CEF" w:rsidP="00381C42">
            <w:pPr>
              <w:pStyle w:val="Heading2"/>
              <w:spacing w:before="0" w:beforeAutospacing="0" w:after="0" w:afterAutospacing="0"/>
              <w:jc w:val="center"/>
              <w:rPr>
                <w:b w:val="0"/>
                <w:i/>
                <w:iCs/>
                <w:color w:val="000000" w:themeColor="text1"/>
                <w:sz w:val="28"/>
                <w:szCs w:val="28"/>
              </w:rPr>
            </w:pPr>
            <w:r w:rsidRPr="003645AA">
              <w:rPr>
                <w:b w:val="0"/>
                <w:color w:val="000000" w:themeColor="text1"/>
                <w:sz w:val="26"/>
                <w:szCs w:val="26"/>
              </w:rPr>
              <w:t xml:space="preserve">Số:     </w:t>
            </w:r>
            <w:r w:rsidR="00957A7D">
              <w:rPr>
                <w:b w:val="0"/>
                <w:color w:val="000000" w:themeColor="text1"/>
                <w:sz w:val="26"/>
                <w:szCs w:val="26"/>
              </w:rPr>
              <w:t xml:space="preserve">    </w:t>
            </w:r>
            <w:r w:rsidRPr="003645AA">
              <w:rPr>
                <w:b w:val="0"/>
                <w:color w:val="000000" w:themeColor="text1"/>
                <w:sz w:val="26"/>
                <w:szCs w:val="26"/>
              </w:rPr>
              <w:t xml:space="preserve">  /QĐ-UBND</w:t>
            </w:r>
          </w:p>
        </w:tc>
        <w:tc>
          <w:tcPr>
            <w:tcW w:w="6095" w:type="dxa"/>
          </w:tcPr>
          <w:p w:rsidR="00D17CEF" w:rsidRPr="00D17CEF" w:rsidRDefault="008E33F2" w:rsidP="00221997">
            <w:pPr>
              <w:pStyle w:val="Heading2"/>
              <w:spacing w:before="0" w:beforeAutospacing="0" w:after="0" w:afterAutospacing="0"/>
              <w:ind w:left="-129"/>
              <w:jc w:val="center"/>
              <w:rPr>
                <w:bCs w:val="0"/>
                <w:color w:val="000000" w:themeColor="text1"/>
                <w:sz w:val="26"/>
                <w:szCs w:val="28"/>
              </w:rPr>
            </w:pPr>
            <w:r>
              <w:rPr>
                <w:iCs/>
                <w:color w:val="000000" w:themeColor="text1"/>
                <w:sz w:val="26"/>
                <w:szCs w:val="28"/>
              </w:rPr>
              <w:t>CỘNG HÒA</w:t>
            </w:r>
            <w:r w:rsidR="00D17CEF" w:rsidRPr="00D17CEF">
              <w:rPr>
                <w:iCs/>
                <w:color w:val="000000" w:themeColor="text1"/>
                <w:sz w:val="26"/>
                <w:szCs w:val="28"/>
              </w:rPr>
              <w:t xml:space="preserve"> XÃ HỘI CHỦ NGHĨA VIỆT NAM</w:t>
            </w:r>
          </w:p>
          <w:p w:rsidR="00D17CEF" w:rsidRPr="003645AA" w:rsidRDefault="00D17CEF" w:rsidP="00221997">
            <w:pPr>
              <w:pStyle w:val="Heading2"/>
              <w:spacing w:before="0" w:beforeAutospacing="0" w:after="0" w:afterAutospacing="0"/>
              <w:ind w:left="-129"/>
              <w:jc w:val="center"/>
              <w:rPr>
                <w:bCs w:val="0"/>
                <w:color w:val="000000" w:themeColor="text1"/>
                <w:sz w:val="28"/>
                <w:szCs w:val="28"/>
              </w:rPr>
            </w:pPr>
            <w:r w:rsidRPr="003645AA">
              <w:rPr>
                <w:bCs w:val="0"/>
                <w:color w:val="000000" w:themeColor="text1"/>
                <w:sz w:val="28"/>
                <w:szCs w:val="28"/>
              </w:rPr>
              <w:t>Độc lập - Tự do - Hạnh phúc</w:t>
            </w:r>
          </w:p>
          <w:p w:rsidR="00D17CEF" w:rsidRPr="00D77C9A" w:rsidRDefault="005205DD" w:rsidP="00381C42">
            <w:pPr>
              <w:pStyle w:val="Heading2"/>
              <w:spacing w:before="0" w:beforeAutospacing="0" w:after="0" w:afterAutospacing="0"/>
              <w:jc w:val="center"/>
              <w:rPr>
                <w:b w:val="0"/>
                <w:i/>
                <w:iCs/>
                <w:color w:val="000000" w:themeColor="text1"/>
                <w:sz w:val="20"/>
                <w:szCs w:val="28"/>
              </w:rPr>
            </w:pPr>
            <w:r>
              <w:rPr>
                <w:b w:val="0"/>
                <w:i/>
                <w:iCs/>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1D3D13FC" wp14:editId="4B346298">
                      <wp:simplePos x="0" y="0"/>
                      <wp:positionH relativeFrom="column">
                        <wp:posOffset>780415</wp:posOffset>
                      </wp:positionH>
                      <wp:positionV relativeFrom="paragraph">
                        <wp:posOffset>34594</wp:posOffset>
                      </wp:positionV>
                      <wp:extent cx="2107096"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07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B05C21" id="Straight Connector 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45pt,2.7pt" to="227.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" strokecolor="black [3040]">
                      <o:lock v:ext="edit" shapetype="f"/>
                    </v:line>
                  </w:pict>
                </mc:Fallback>
              </mc:AlternateContent>
            </w:r>
          </w:p>
          <w:p w:rsidR="00D17CEF" w:rsidRPr="003645AA" w:rsidRDefault="00D17CEF" w:rsidP="00221997">
            <w:pPr>
              <w:pStyle w:val="Heading2"/>
              <w:spacing w:before="0" w:beforeAutospacing="0" w:after="0" w:afterAutospacing="0"/>
              <w:ind w:left="-129"/>
              <w:jc w:val="center"/>
              <w:rPr>
                <w:b w:val="0"/>
                <w:i/>
                <w:iCs/>
                <w:color w:val="000000" w:themeColor="text1"/>
                <w:sz w:val="28"/>
                <w:szCs w:val="28"/>
              </w:rPr>
            </w:pPr>
            <w:r w:rsidRPr="00957A7D">
              <w:rPr>
                <w:b w:val="0"/>
                <w:i/>
                <w:iCs/>
                <w:color w:val="000000" w:themeColor="text1"/>
                <w:sz w:val="28"/>
                <w:szCs w:val="28"/>
              </w:rPr>
              <w:t>Đắk Nông</w:t>
            </w:r>
            <w:r w:rsidR="000639A7">
              <w:rPr>
                <w:b w:val="0"/>
                <w:i/>
                <w:iCs/>
                <w:color w:val="000000" w:themeColor="text1"/>
                <w:sz w:val="28"/>
                <w:szCs w:val="28"/>
              </w:rPr>
              <w:t xml:space="preserve">, ngày      </w:t>
            </w:r>
            <w:r w:rsidR="00957A7D" w:rsidRPr="00957A7D">
              <w:rPr>
                <w:b w:val="0"/>
                <w:i/>
                <w:iCs/>
                <w:color w:val="000000" w:themeColor="text1"/>
                <w:sz w:val="28"/>
                <w:szCs w:val="28"/>
              </w:rPr>
              <w:t>tháng</w:t>
            </w:r>
            <w:r w:rsidR="001D5126">
              <w:rPr>
                <w:b w:val="0"/>
                <w:i/>
                <w:iCs/>
                <w:color w:val="000000" w:themeColor="text1"/>
                <w:sz w:val="28"/>
                <w:szCs w:val="28"/>
              </w:rPr>
              <w:t xml:space="preserve"> </w:t>
            </w:r>
            <w:r w:rsidR="00957A7D" w:rsidRPr="00957A7D">
              <w:rPr>
                <w:b w:val="0"/>
                <w:i/>
                <w:iCs/>
                <w:color w:val="000000" w:themeColor="text1"/>
                <w:sz w:val="28"/>
                <w:szCs w:val="28"/>
              </w:rPr>
              <w:t xml:space="preserve"> </w:t>
            </w:r>
            <w:r w:rsidR="001D5126">
              <w:rPr>
                <w:b w:val="0"/>
                <w:i/>
                <w:iCs/>
                <w:color w:val="000000" w:themeColor="text1"/>
                <w:sz w:val="28"/>
                <w:szCs w:val="28"/>
              </w:rPr>
              <w:t>6</w:t>
            </w:r>
            <w:r w:rsidR="009E2641">
              <w:rPr>
                <w:b w:val="0"/>
                <w:i/>
                <w:iCs/>
                <w:color w:val="000000" w:themeColor="text1"/>
                <w:sz w:val="28"/>
                <w:szCs w:val="28"/>
              </w:rPr>
              <w:t xml:space="preserve"> </w:t>
            </w:r>
            <w:r w:rsidR="00957A7D" w:rsidRPr="00957A7D">
              <w:rPr>
                <w:b w:val="0"/>
                <w:i/>
                <w:iCs/>
                <w:color w:val="000000" w:themeColor="text1"/>
                <w:sz w:val="28"/>
                <w:szCs w:val="28"/>
              </w:rPr>
              <w:t xml:space="preserve"> </w:t>
            </w:r>
            <w:r w:rsidRPr="00957A7D">
              <w:rPr>
                <w:b w:val="0"/>
                <w:i/>
                <w:iCs/>
                <w:color w:val="000000" w:themeColor="text1"/>
                <w:sz w:val="28"/>
                <w:szCs w:val="28"/>
              </w:rPr>
              <w:t>năm 20</w:t>
            </w:r>
            <w:r w:rsidR="009E2641">
              <w:rPr>
                <w:b w:val="0"/>
                <w:i/>
                <w:iCs/>
                <w:color w:val="000000" w:themeColor="text1"/>
                <w:sz w:val="28"/>
                <w:szCs w:val="28"/>
              </w:rPr>
              <w:t>24</w:t>
            </w:r>
          </w:p>
        </w:tc>
      </w:tr>
    </w:tbl>
    <w:p w:rsidR="00483371" w:rsidRPr="00DE0146" w:rsidRDefault="00483371" w:rsidP="00483371">
      <w:pPr>
        <w:pStyle w:val="Heading2"/>
        <w:spacing w:before="120" w:beforeAutospacing="0" w:after="0" w:afterAutospacing="0"/>
        <w:jc w:val="center"/>
        <w:rPr>
          <w:color w:val="000000" w:themeColor="text1"/>
          <w:sz w:val="20"/>
          <w:szCs w:val="28"/>
        </w:rPr>
      </w:pPr>
    </w:p>
    <w:p w:rsidR="00D17CEF" w:rsidRPr="003645AA" w:rsidRDefault="00D17CEF" w:rsidP="000639A7">
      <w:pPr>
        <w:pStyle w:val="Heading2"/>
        <w:spacing w:before="0" w:beforeAutospacing="0" w:after="0" w:afterAutospacing="0"/>
        <w:jc w:val="center"/>
        <w:rPr>
          <w:color w:val="000000" w:themeColor="text1"/>
          <w:sz w:val="28"/>
          <w:szCs w:val="28"/>
        </w:rPr>
      </w:pPr>
      <w:r w:rsidRPr="003645AA">
        <w:rPr>
          <w:color w:val="000000" w:themeColor="text1"/>
          <w:sz w:val="28"/>
          <w:szCs w:val="28"/>
        </w:rPr>
        <w:t>QUYẾT ĐỊNH</w:t>
      </w:r>
    </w:p>
    <w:p w:rsidR="00775964" w:rsidRPr="00775964" w:rsidRDefault="00D17CEF" w:rsidP="005F30F0">
      <w:pPr>
        <w:pStyle w:val="Heading1"/>
        <w:spacing w:before="0" w:after="0"/>
        <w:jc w:val="center"/>
        <w:rPr>
          <w:rFonts w:ascii="Times New Roman" w:hAnsi="Times New Roman"/>
          <w:sz w:val="28"/>
          <w:szCs w:val="28"/>
        </w:rPr>
      </w:pPr>
      <w:r w:rsidRPr="003645AA">
        <w:rPr>
          <w:rFonts w:ascii="Times New Roman" w:hAnsi="Times New Roman"/>
          <w:color w:val="000000" w:themeColor="text1"/>
          <w:sz w:val="28"/>
          <w:szCs w:val="28"/>
        </w:rPr>
        <w:t>Về việc</w:t>
      </w:r>
      <w:r w:rsidR="001D5126">
        <w:rPr>
          <w:rFonts w:ascii="Times New Roman" w:hAnsi="Times New Roman"/>
          <w:color w:val="000000" w:themeColor="text1"/>
          <w:sz w:val="28"/>
          <w:szCs w:val="28"/>
        </w:rPr>
        <w:t xml:space="preserve"> công bố</w:t>
      </w:r>
      <w:r w:rsidR="0091569A">
        <w:rPr>
          <w:rFonts w:ascii="Times New Roman" w:hAnsi="Times New Roman"/>
          <w:color w:val="000000" w:themeColor="text1"/>
          <w:sz w:val="28"/>
          <w:szCs w:val="28"/>
        </w:rPr>
        <w:t xml:space="preserve"> Danh mục</w:t>
      </w:r>
      <w:r w:rsidR="001D5126">
        <w:rPr>
          <w:rFonts w:ascii="Times New Roman" w:hAnsi="Times New Roman"/>
          <w:color w:val="000000" w:themeColor="text1"/>
          <w:sz w:val="28"/>
          <w:szCs w:val="28"/>
        </w:rPr>
        <w:t xml:space="preserve"> thủ tục hành chính</w:t>
      </w:r>
      <w:r w:rsidRPr="003645AA">
        <w:rPr>
          <w:rFonts w:ascii="Times New Roman" w:hAnsi="Times New Roman"/>
          <w:color w:val="000000" w:themeColor="text1"/>
          <w:sz w:val="28"/>
          <w:szCs w:val="28"/>
        </w:rPr>
        <w:t xml:space="preserve"> </w:t>
      </w:r>
      <w:r w:rsidR="001D5126">
        <w:rPr>
          <w:rFonts w:ascii="Times New Roman" w:hAnsi="Times New Roman"/>
          <w:sz w:val="28"/>
          <w:szCs w:val="28"/>
        </w:rPr>
        <w:t>sửa đổ</w:t>
      </w:r>
      <w:r w:rsidR="00775964">
        <w:rPr>
          <w:rFonts w:ascii="Times New Roman" w:hAnsi="Times New Roman"/>
          <w:sz w:val="28"/>
          <w:szCs w:val="28"/>
        </w:rPr>
        <w:t>i, bổ sung một số nội dung</w:t>
      </w:r>
      <w:r w:rsidR="001D5126">
        <w:rPr>
          <w:rFonts w:ascii="Times New Roman" w:hAnsi="Times New Roman"/>
          <w:sz w:val="28"/>
          <w:szCs w:val="28"/>
        </w:rPr>
        <w:t xml:space="preserve"> lĩnh vực </w:t>
      </w:r>
      <w:proofErr w:type="gramStart"/>
      <w:r w:rsidR="001D5126">
        <w:rPr>
          <w:rFonts w:ascii="Times New Roman" w:hAnsi="Times New Roman"/>
          <w:sz w:val="28"/>
          <w:szCs w:val="28"/>
        </w:rPr>
        <w:t>An</w:t>
      </w:r>
      <w:proofErr w:type="gramEnd"/>
      <w:r w:rsidR="001D5126">
        <w:rPr>
          <w:rFonts w:ascii="Times New Roman" w:hAnsi="Times New Roman"/>
          <w:sz w:val="28"/>
          <w:szCs w:val="28"/>
        </w:rPr>
        <w:t xml:space="preserve"> toàn thực phẩm và dinh dưỡng</w:t>
      </w:r>
      <w:r w:rsidR="00260809" w:rsidRPr="00C44C72">
        <w:rPr>
          <w:rFonts w:ascii="Times New Roman" w:hAnsi="Times New Roman"/>
          <w:sz w:val="28"/>
          <w:szCs w:val="28"/>
        </w:rPr>
        <w:t xml:space="preserve"> </w:t>
      </w:r>
      <w:r w:rsidR="00775964">
        <w:rPr>
          <w:rFonts w:ascii="Times New Roman" w:hAnsi="Times New Roman"/>
          <w:sz w:val="28"/>
          <w:szCs w:val="28"/>
        </w:rPr>
        <w:t xml:space="preserve">thuộc </w:t>
      </w:r>
      <w:r w:rsidR="00775964" w:rsidRPr="00775964">
        <w:rPr>
          <w:rFonts w:ascii="Times New Roman" w:hAnsi="Times New Roman"/>
          <w:sz w:val="28"/>
          <w:szCs w:val="28"/>
        </w:rPr>
        <w:t xml:space="preserve">phạm vi </w:t>
      </w:r>
    </w:p>
    <w:p w:rsidR="00260809" w:rsidRPr="00C44C72" w:rsidRDefault="00775964" w:rsidP="005F30F0">
      <w:pPr>
        <w:pStyle w:val="Heading1"/>
        <w:spacing w:before="0" w:after="0"/>
        <w:jc w:val="center"/>
        <w:rPr>
          <w:rFonts w:ascii="Times New Roman" w:hAnsi="Times New Roman"/>
          <w:sz w:val="28"/>
          <w:szCs w:val="28"/>
        </w:rPr>
      </w:pPr>
      <w:r w:rsidRPr="00775964">
        <w:rPr>
          <w:rFonts w:ascii="Times New Roman" w:hAnsi="Times New Roman"/>
          <w:sz w:val="28"/>
          <w:szCs w:val="28"/>
        </w:rPr>
        <w:t xml:space="preserve">chức năng </w:t>
      </w:r>
      <w:r>
        <w:rPr>
          <w:rFonts w:ascii="Times New Roman" w:hAnsi="Times New Roman"/>
          <w:sz w:val="28"/>
          <w:szCs w:val="28"/>
        </w:rPr>
        <w:t>quản lý nhà nước của Sở Y tế</w:t>
      </w:r>
    </w:p>
    <w:p w:rsidR="00D17CEF" w:rsidRPr="003645AA" w:rsidRDefault="00221997" w:rsidP="00260809">
      <w:pPr>
        <w:pStyle w:val="Heading1"/>
        <w:spacing w:before="0" w:after="0"/>
        <w:jc w:val="center"/>
        <w:rPr>
          <w:rFonts w:ascii="Times New Roman" w:hAnsi="Times New Roman"/>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66432" behindDoc="0" locked="0" layoutInCell="1" allowOverlap="1">
                <wp:simplePos x="0" y="0"/>
                <wp:positionH relativeFrom="column">
                  <wp:posOffset>2045998</wp:posOffset>
                </wp:positionH>
                <wp:positionV relativeFrom="paragraph">
                  <wp:posOffset>55604</wp:posOffset>
                </wp:positionV>
                <wp:extent cx="1629686"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6296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8E4E9"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pt,4.4pt" to="289.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FvdtwEAAMMDAAAOAAAAZHJzL2Uyb0RvYy54bWysU8GO0zAQvSPxD5bvNGm1qpa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" strokecolor="#4579b8 [3044]"/>
            </w:pict>
          </mc:Fallback>
        </mc:AlternateContent>
      </w:r>
    </w:p>
    <w:p w:rsidR="00D17CEF" w:rsidRDefault="008E33F2" w:rsidP="00C569FD">
      <w:pPr>
        <w:pStyle w:val="Heading1"/>
        <w:spacing w:before="0" w:after="0"/>
        <w:jc w:val="center"/>
        <w:rPr>
          <w:rFonts w:ascii="Times New Roman" w:hAnsi="Times New Roman"/>
          <w:color w:val="000000" w:themeColor="text1"/>
          <w:sz w:val="28"/>
          <w:szCs w:val="28"/>
        </w:rPr>
      </w:pPr>
      <w:r>
        <w:rPr>
          <w:rFonts w:ascii="Times New Roman" w:hAnsi="Times New Roman"/>
          <w:color w:val="000000" w:themeColor="text1"/>
          <w:sz w:val="28"/>
          <w:szCs w:val="28"/>
        </w:rPr>
        <w:t>CHỦ TỊCH ỦY</w:t>
      </w:r>
      <w:r w:rsidR="00D17CEF" w:rsidRPr="004D1F75">
        <w:rPr>
          <w:rFonts w:ascii="Times New Roman" w:hAnsi="Times New Roman"/>
          <w:color w:val="000000" w:themeColor="text1"/>
          <w:sz w:val="28"/>
          <w:szCs w:val="28"/>
        </w:rPr>
        <w:t xml:space="preserve"> BAN NHÂN DÂN TỈNH ĐẮK NÔNG</w:t>
      </w:r>
    </w:p>
    <w:p w:rsidR="00C024FA" w:rsidRPr="00C569FD" w:rsidRDefault="00C024FA" w:rsidP="00C024FA">
      <w:pPr>
        <w:rPr>
          <w:sz w:val="4"/>
        </w:rPr>
      </w:pPr>
    </w:p>
    <w:p w:rsidR="00D17CEF" w:rsidRPr="00C569FD" w:rsidRDefault="00D17CEF" w:rsidP="00DE0146">
      <w:pPr>
        <w:spacing w:before="40" w:after="40"/>
        <w:ind w:firstLine="720"/>
        <w:jc w:val="both"/>
        <w:rPr>
          <w:i/>
          <w:color w:val="000000" w:themeColor="text1"/>
          <w:spacing w:val="-2"/>
          <w:sz w:val="28"/>
          <w:szCs w:val="28"/>
        </w:rPr>
      </w:pPr>
      <w:r w:rsidRPr="000639A7">
        <w:rPr>
          <w:i/>
          <w:color w:val="000000" w:themeColor="text1"/>
          <w:sz w:val="28"/>
          <w:szCs w:val="28"/>
        </w:rPr>
        <w:t xml:space="preserve">Căn cứ Luật </w:t>
      </w:r>
      <w:r w:rsidR="00C01D74" w:rsidRPr="000639A7">
        <w:rPr>
          <w:i/>
          <w:color w:val="000000" w:themeColor="text1"/>
          <w:sz w:val="28"/>
          <w:szCs w:val="28"/>
        </w:rPr>
        <w:t>T</w:t>
      </w:r>
      <w:r w:rsidRPr="000639A7">
        <w:rPr>
          <w:i/>
          <w:color w:val="000000" w:themeColor="text1"/>
          <w:sz w:val="28"/>
          <w:szCs w:val="28"/>
        </w:rPr>
        <w:t>ổ chức chính quyền địa phương ngày 19</w:t>
      </w:r>
      <w:r w:rsidR="00881C23" w:rsidRPr="000639A7">
        <w:rPr>
          <w:i/>
          <w:color w:val="000000" w:themeColor="text1"/>
          <w:sz w:val="28"/>
          <w:szCs w:val="28"/>
        </w:rPr>
        <w:t xml:space="preserve"> thá</w:t>
      </w:r>
      <w:r w:rsidR="00C01D74" w:rsidRPr="000639A7">
        <w:rPr>
          <w:i/>
          <w:color w:val="000000" w:themeColor="text1"/>
          <w:sz w:val="28"/>
          <w:szCs w:val="28"/>
        </w:rPr>
        <w:t xml:space="preserve">ng </w:t>
      </w:r>
      <w:r w:rsidRPr="000639A7">
        <w:rPr>
          <w:i/>
          <w:color w:val="000000" w:themeColor="text1"/>
          <w:sz w:val="28"/>
          <w:szCs w:val="28"/>
        </w:rPr>
        <w:t>6</w:t>
      </w:r>
      <w:r w:rsidR="00C01D74" w:rsidRPr="000639A7">
        <w:rPr>
          <w:i/>
          <w:color w:val="000000" w:themeColor="text1"/>
          <w:sz w:val="28"/>
          <w:szCs w:val="28"/>
        </w:rPr>
        <w:t xml:space="preserve"> năm </w:t>
      </w:r>
      <w:r w:rsidRPr="000639A7">
        <w:rPr>
          <w:i/>
          <w:color w:val="000000" w:themeColor="text1"/>
          <w:sz w:val="28"/>
          <w:szCs w:val="28"/>
        </w:rPr>
        <w:t>2015;</w:t>
      </w:r>
      <w:r w:rsidR="001012E0" w:rsidRPr="000639A7">
        <w:rPr>
          <w:i/>
          <w:color w:val="000000" w:themeColor="text1"/>
          <w:sz w:val="28"/>
          <w:szCs w:val="28"/>
        </w:rPr>
        <w:t xml:space="preserve"> Luật sửa đổi,</w:t>
      </w:r>
      <w:r w:rsidR="001012E0" w:rsidRPr="00C569FD">
        <w:rPr>
          <w:i/>
          <w:color w:val="000000" w:themeColor="text1"/>
          <w:spacing w:val="-2"/>
          <w:sz w:val="28"/>
          <w:szCs w:val="28"/>
        </w:rPr>
        <w:t xml:space="preserve"> bổ sung một số điều của</w:t>
      </w:r>
      <w:r w:rsidR="00AF5118" w:rsidRPr="00C569FD">
        <w:rPr>
          <w:i/>
          <w:color w:val="000000" w:themeColor="text1"/>
          <w:spacing w:val="-2"/>
          <w:sz w:val="28"/>
          <w:szCs w:val="28"/>
        </w:rPr>
        <w:t xml:space="preserve"> Luật Tổ chức Chính phủ và Luật</w:t>
      </w:r>
      <w:r w:rsidR="001012E0" w:rsidRPr="00C569FD">
        <w:rPr>
          <w:i/>
          <w:color w:val="000000" w:themeColor="text1"/>
          <w:spacing w:val="-2"/>
          <w:sz w:val="28"/>
          <w:szCs w:val="28"/>
        </w:rPr>
        <w:t xml:space="preserve"> Tổ chức chính quyền địa phương ngày 22 tháng 11 năm 2019;</w:t>
      </w:r>
    </w:p>
    <w:p w:rsidR="00D17CEF" w:rsidRPr="00C569FD" w:rsidRDefault="00D17CEF" w:rsidP="00DE0146">
      <w:pPr>
        <w:spacing w:before="40" w:after="40"/>
        <w:ind w:firstLine="720"/>
        <w:jc w:val="both"/>
        <w:rPr>
          <w:i/>
          <w:color w:val="000000" w:themeColor="text1"/>
          <w:spacing w:val="-2"/>
          <w:sz w:val="28"/>
          <w:szCs w:val="28"/>
        </w:rPr>
      </w:pPr>
      <w:r w:rsidRPr="00C569FD">
        <w:rPr>
          <w:i/>
          <w:color w:val="000000" w:themeColor="text1"/>
          <w:spacing w:val="-2"/>
          <w:sz w:val="28"/>
          <w:szCs w:val="28"/>
        </w:rPr>
        <w:t xml:space="preserve">Căn cứ Nghị </w:t>
      </w:r>
      <w:r w:rsidR="00C01D74" w:rsidRPr="00C569FD">
        <w:rPr>
          <w:i/>
          <w:color w:val="000000" w:themeColor="text1"/>
          <w:spacing w:val="-2"/>
          <w:sz w:val="28"/>
          <w:szCs w:val="28"/>
        </w:rPr>
        <w:t>định</w:t>
      </w:r>
      <w:r w:rsidR="000639A7" w:rsidRPr="00C569FD">
        <w:rPr>
          <w:i/>
          <w:color w:val="000000" w:themeColor="text1"/>
          <w:spacing w:val="-2"/>
          <w:sz w:val="28"/>
          <w:szCs w:val="28"/>
        </w:rPr>
        <w:t xml:space="preserve"> số 63/2010/NĐ-CP </w:t>
      </w:r>
      <w:r w:rsidRPr="00C569FD">
        <w:rPr>
          <w:i/>
          <w:color w:val="000000" w:themeColor="text1"/>
          <w:spacing w:val="-2"/>
          <w:sz w:val="28"/>
          <w:szCs w:val="28"/>
        </w:rPr>
        <w:t>ngày 08</w:t>
      </w:r>
      <w:r w:rsidR="00C01D74" w:rsidRPr="00C569FD">
        <w:rPr>
          <w:i/>
          <w:color w:val="000000" w:themeColor="text1"/>
          <w:spacing w:val="-2"/>
          <w:sz w:val="28"/>
          <w:szCs w:val="28"/>
        </w:rPr>
        <w:t xml:space="preserve"> tháng 6 năm </w:t>
      </w:r>
      <w:r w:rsidRPr="00C569FD">
        <w:rPr>
          <w:i/>
          <w:color w:val="000000" w:themeColor="text1"/>
          <w:spacing w:val="-2"/>
          <w:sz w:val="28"/>
          <w:szCs w:val="28"/>
        </w:rPr>
        <w:t>2010 của Chính phủ về kiểm soát thủ tục hành chính</w:t>
      </w:r>
      <w:r w:rsidR="00221997" w:rsidRPr="00C569FD">
        <w:rPr>
          <w:i/>
          <w:color w:val="000000" w:themeColor="text1"/>
          <w:spacing w:val="-2"/>
          <w:sz w:val="28"/>
          <w:szCs w:val="28"/>
        </w:rPr>
        <w:t xml:space="preserve"> và</w:t>
      </w:r>
      <w:r w:rsidR="00957A7D" w:rsidRPr="00C569FD">
        <w:rPr>
          <w:i/>
          <w:color w:val="000000" w:themeColor="text1"/>
          <w:spacing w:val="-2"/>
          <w:sz w:val="28"/>
          <w:szCs w:val="28"/>
        </w:rPr>
        <w:t xml:space="preserve"> </w:t>
      </w:r>
      <w:r w:rsidR="008E33F2" w:rsidRPr="00C569FD">
        <w:rPr>
          <w:i/>
          <w:color w:val="000000" w:themeColor="text1"/>
          <w:spacing w:val="-2"/>
          <w:sz w:val="28"/>
          <w:szCs w:val="28"/>
        </w:rPr>
        <w:t xml:space="preserve">Nghị định số 92/2017/NĐ-CP </w:t>
      </w:r>
      <w:r w:rsidRPr="00C569FD">
        <w:rPr>
          <w:i/>
          <w:color w:val="000000" w:themeColor="text1"/>
          <w:spacing w:val="-2"/>
          <w:sz w:val="28"/>
          <w:szCs w:val="28"/>
        </w:rPr>
        <w:t>ngày 07</w:t>
      </w:r>
      <w:r w:rsidR="00C01D74" w:rsidRPr="00C569FD">
        <w:rPr>
          <w:i/>
          <w:color w:val="000000" w:themeColor="text1"/>
          <w:spacing w:val="-2"/>
          <w:sz w:val="28"/>
          <w:szCs w:val="28"/>
        </w:rPr>
        <w:t xml:space="preserve"> tháng </w:t>
      </w:r>
      <w:r w:rsidRPr="00C569FD">
        <w:rPr>
          <w:i/>
          <w:color w:val="000000" w:themeColor="text1"/>
          <w:spacing w:val="-2"/>
          <w:sz w:val="28"/>
          <w:szCs w:val="28"/>
        </w:rPr>
        <w:t>8</w:t>
      </w:r>
      <w:r w:rsidR="00C01D74" w:rsidRPr="00C569FD">
        <w:rPr>
          <w:i/>
          <w:color w:val="000000" w:themeColor="text1"/>
          <w:spacing w:val="-2"/>
          <w:sz w:val="28"/>
          <w:szCs w:val="28"/>
        </w:rPr>
        <w:t xml:space="preserve"> năm </w:t>
      </w:r>
      <w:r w:rsidRPr="00C569FD">
        <w:rPr>
          <w:i/>
          <w:color w:val="000000" w:themeColor="text1"/>
          <w:spacing w:val="-2"/>
          <w:sz w:val="28"/>
          <w:szCs w:val="28"/>
        </w:rPr>
        <w:t xml:space="preserve">2017 của Chính phủ sửa đổi, bổ sung một số điều các </w:t>
      </w:r>
      <w:r w:rsidR="00221997" w:rsidRPr="00C569FD">
        <w:rPr>
          <w:i/>
          <w:color w:val="000000" w:themeColor="text1"/>
          <w:spacing w:val="-2"/>
          <w:sz w:val="28"/>
          <w:szCs w:val="28"/>
        </w:rPr>
        <w:br/>
        <w:t>n</w:t>
      </w:r>
      <w:r w:rsidRPr="00C569FD">
        <w:rPr>
          <w:i/>
          <w:color w:val="000000" w:themeColor="text1"/>
          <w:spacing w:val="-2"/>
          <w:sz w:val="28"/>
          <w:szCs w:val="28"/>
        </w:rPr>
        <w:t>ghị định liên quan đến kiểm soát thủ tục hành chính;</w:t>
      </w:r>
    </w:p>
    <w:p w:rsidR="00D17CEF" w:rsidRPr="00C569FD" w:rsidRDefault="00D17CEF" w:rsidP="00DE0146">
      <w:pPr>
        <w:spacing w:before="40" w:after="40"/>
        <w:ind w:firstLine="720"/>
        <w:jc w:val="both"/>
        <w:rPr>
          <w:i/>
          <w:color w:val="000000" w:themeColor="text1"/>
          <w:spacing w:val="-2"/>
          <w:sz w:val="28"/>
          <w:szCs w:val="28"/>
        </w:rPr>
      </w:pPr>
      <w:r w:rsidRPr="00C569FD">
        <w:rPr>
          <w:i/>
          <w:color w:val="000000" w:themeColor="text1"/>
          <w:spacing w:val="-2"/>
          <w:sz w:val="28"/>
          <w:szCs w:val="28"/>
        </w:rPr>
        <w:t xml:space="preserve">Căn </w:t>
      </w:r>
      <w:r w:rsidR="00957A7D" w:rsidRPr="00C569FD">
        <w:rPr>
          <w:i/>
          <w:color w:val="000000" w:themeColor="text1"/>
          <w:spacing w:val="-2"/>
          <w:sz w:val="28"/>
          <w:szCs w:val="28"/>
        </w:rPr>
        <w:t xml:space="preserve">cứ Thông tư số 02/2017/TT-VPCP </w:t>
      </w:r>
      <w:r w:rsidRPr="00C569FD">
        <w:rPr>
          <w:i/>
          <w:color w:val="000000" w:themeColor="text1"/>
          <w:spacing w:val="-2"/>
          <w:sz w:val="28"/>
          <w:szCs w:val="28"/>
        </w:rPr>
        <w:t>ngày 31</w:t>
      </w:r>
      <w:r w:rsidR="002C7FAD" w:rsidRPr="00C569FD">
        <w:rPr>
          <w:i/>
          <w:color w:val="000000" w:themeColor="text1"/>
          <w:spacing w:val="-2"/>
          <w:sz w:val="28"/>
          <w:szCs w:val="28"/>
        </w:rPr>
        <w:t xml:space="preserve"> tháng </w:t>
      </w:r>
      <w:r w:rsidRPr="00C569FD">
        <w:rPr>
          <w:i/>
          <w:color w:val="000000" w:themeColor="text1"/>
          <w:spacing w:val="-2"/>
          <w:sz w:val="28"/>
          <w:szCs w:val="28"/>
        </w:rPr>
        <w:t>10</w:t>
      </w:r>
      <w:r w:rsidR="002C7FAD" w:rsidRPr="00C569FD">
        <w:rPr>
          <w:i/>
          <w:color w:val="000000" w:themeColor="text1"/>
          <w:spacing w:val="-2"/>
          <w:sz w:val="28"/>
          <w:szCs w:val="28"/>
        </w:rPr>
        <w:t xml:space="preserve"> năm </w:t>
      </w:r>
      <w:r w:rsidRPr="00C569FD">
        <w:rPr>
          <w:i/>
          <w:color w:val="000000" w:themeColor="text1"/>
          <w:spacing w:val="-2"/>
          <w:sz w:val="28"/>
          <w:szCs w:val="28"/>
        </w:rPr>
        <w:t>2017 của Văn phòng Chính phủ hướng dẫn nghiệp vụ về kiểm soát thủ tục hành chính;</w:t>
      </w:r>
    </w:p>
    <w:p w:rsidR="00111962" w:rsidRPr="001D5126" w:rsidRDefault="00111962" w:rsidP="001D5126">
      <w:pPr>
        <w:spacing w:before="120" w:after="120"/>
        <w:ind w:firstLine="720"/>
        <w:jc w:val="both"/>
        <w:rPr>
          <w:i/>
          <w:iCs/>
          <w:sz w:val="28"/>
          <w:szCs w:val="28"/>
          <w:lang w:val="vi-VN"/>
        </w:rPr>
      </w:pPr>
      <w:r w:rsidRPr="00C569FD">
        <w:rPr>
          <w:i/>
          <w:color w:val="000000" w:themeColor="text1"/>
          <w:spacing w:val="-2"/>
          <w:sz w:val="28"/>
          <w:szCs w:val="28"/>
        </w:rPr>
        <w:t xml:space="preserve">Căn cứ Quyết định số </w:t>
      </w:r>
      <w:r w:rsidR="001D5126" w:rsidRPr="001D5126">
        <w:rPr>
          <w:i/>
          <w:iCs/>
          <w:sz w:val="28"/>
          <w:szCs w:val="28"/>
        </w:rPr>
        <w:t xml:space="preserve">1613/QĐ-BYT ngày 11 tháng 6 năm 2024 của Bộ Y tế về việc sửa đổi, bổ sung một số nội dung tại các Quyết định của Bộ Y tế về việc công bố thủ tục hành chính lĩnh vực </w:t>
      </w:r>
      <w:proofErr w:type="gramStart"/>
      <w:r w:rsidR="001D5126" w:rsidRPr="001D5126">
        <w:rPr>
          <w:i/>
          <w:iCs/>
          <w:sz w:val="28"/>
          <w:szCs w:val="28"/>
        </w:rPr>
        <w:t>An</w:t>
      </w:r>
      <w:proofErr w:type="gramEnd"/>
      <w:r w:rsidR="001D5126" w:rsidRPr="001D5126">
        <w:rPr>
          <w:i/>
          <w:iCs/>
          <w:sz w:val="28"/>
          <w:szCs w:val="28"/>
        </w:rPr>
        <w:t xml:space="preserve"> toàn thực phẩm và dinh dưỡng;</w:t>
      </w:r>
    </w:p>
    <w:p w:rsidR="00D17CEF" w:rsidRPr="000639A7" w:rsidRDefault="00AE013A" w:rsidP="00DE0146">
      <w:pPr>
        <w:spacing w:before="40" w:after="40"/>
        <w:ind w:firstLine="720"/>
        <w:jc w:val="both"/>
        <w:rPr>
          <w:i/>
          <w:color w:val="000000" w:themeColor="text1"/>
          <w:sz w:val="28"/>
          <w:szCs w:val="28"/>
        </w:rPr>
      </w:pPr>
      <w:r w:rsidRPr="00C569FD">
        <w:rPr>
          <w:i/>
          <w:color w:val="000000" w:themeColor="text1"/>
          <w:spacing w:val="-2"/>
          <w:sz w:val="28"/>
          <w:szCs w:val="28"/>
        </w:rPr>
        <w:t xml:space="preserve">Theo </w:t>
      </w:r>
      <w:r w:rsidR="00D17CEF" w:rsidRPr="00C569FD">
        <w:rPr>
          <w:i/>
          <w:color w:val="000000" w:themeColor="text1"/>
          <w:spacing w:val="-2"/>
          <w:sz w:val="28"/>
          <w:szCs w:val="28"/>
        </w:rPr>
        <w:t xml:space="preserve">đề nghị của Giám đốc Sở </w:t>
      </w:r>
      <w:r w:rsidR="009E2641">
        <w:rPr>
          <w:i/>
          <w:color w:val="000000" w:themeColor="text1"/>
          <w:spacing w:val="-2"/>
          <w:sz w:val="28"/>
          <w:szCs w:val="28"/>
        </w:rPr>
        <w:t xml:space="preserve">Y tế </w:t>
      </w:r>
      <w:r w:rsidR="00D72EE8">
        <w:rPr>
          <w:i/>
          <w:color w:val="000000" w:themeColor="text1"/>
          <w:sz w:val="28"/>
          <w:szCs w:val="28"/>
        </w:rPr>
        <w:t>tại Tờ trình số</w:t>
      </w:r>
      <w:r w:rsidR="009E2641">
        <w:rPr>
          <w:i/>
          <w:color w:val="000000" w:themeColor="text1"/>
          <w:sz w:val="28"/>
          <w:szCs w:val="28"/>
        </w:rPr>
        <w:t xml:space="preserve">     </w:t>
      </w:r>
      <w:r w:rsidR="00251CA7">
        <w:rPr>
          <w:i/>
          <w:color w:val="000000" w:themeColor="text1"/>
          <w:sz w:val="28"/>
          <w:szCs w:val="28"/>
        </w:rPr>
        <w:t>/</w:t>
      </w:r>
      <w:r w:rsidR="009E2641">
        <w:rPr>
          <w:i/>
          <w:color w:val="000000" w:themeColor="text1"/>
          <w:sz w:val="28"/>
          <w:szCs w:val="28"/>
        </w:rPr>
        <w:t>TTr-SYT</w:t>
      </w:r>
      <w:r w:rsidR="00957A7D" w:rsidRPr="000639A7">
        <w:rPr>
          <w:i/>
          <w:color w:val="000000" w:themeColor="text1"/>
          <w:sz w:val="28"/>
          <w:szCs w:val="28"/>
        </w:rPr>
        <w:t xml:space="preserve"> ngày</w:t>
      </w:r>
      <w:r w:rsidR="00251CA7">
        <w:rPr>
          <w:i/>
          <w:color w:val="000000" w:themeColor="text1"/>
          <w:sz w:val="28"/>
          <w:szCs w:val="28"/>
        </w:rPr>
        <w:t xml:space="preserve"> </w:t>
      </w:r>
      <w:r w:rsidR="009E2641">
        <w:rPr>
          <w:i/>
          <w:color w:val="000000" w:themeColor="text1"/>
          <w:sz w:val="28"/>
          <w:szCs w:val="28"/>
        </w:rPr>
        <w:t xml:space="preserve">  </w:t>
      </w:r>
      <w:r w:rsidR="00251CA7">
        <w:rPr>
          <w:i/>
          <w:color w:val="000000" w:themeColor="text1"/>
          <w:sz w:val="28"/>
          <w:szCs w:val="28"/>
        </w:rPr>
        <w:t xml:space="preserve"> </w:t>
      </w:r>
      <w:r w:rsidR="002344E4" w:rsidRPr="000639A7">
        <w:rPr>
          <w:i/>
          <w:color w:val="000000" w:themeColor="text1"/>
          <w:sz w:val="28"/>
          <w:szCs w:val="28"/>
        </w:rPr>
        <w:t>tháng</w:t>
      </w:r>
      <w:r w:rsidR="001D5126">
        <w:rPr>
          <w:i/>
          <w:color w:val="000000" w:themeColor="text1"/>
          <w:sz w:val="28"/>
          <w:szCs w:val="28"/>
        </w:rPr>
        <w:t xml:space="preserve"> 6 </w:t>
      </w:r>
      <w:r w:rsidR="002344E4" w:rsidRPr="000639A7">
        <w:rPr>
          <w:i/>
          <w:color w:val="000000" w:themeColor="text1"/>
          <w:sz w:val="28"/>
          <w:szCs w:val="28"/>
        </w:rPr>
        <w:t xml:space="preserve">năm </w:t>
      </w:r>
      <w:r w:rsidR="00D17CEF" w:rsidRPr="000639A7">
        <w:rPr>
          <w:i/>
          <w:color w:val="000000" w:themeColor="text1"/>
          <w:sz w:val="28"/>
          <w:szCs w:val="28"/>
        </w:rPr>
        <w:t>20</w:t>
      </w:r>
      <w:r w:rsidR="009E2641">
        <w:rPr>
          <w:i/>
          <w:color w:val="000000" w:themeColor="text1"/>
          <w:sz w:val="28"/>
          <w:szCs w:val="28"/>
        </w:rPr>
        <w:t>24.</w:t>
      </w:r>
    </w:p>
    <w:p w:rsidR="00D17CEF" w:rsidRPr="000639A7" w:rsidRDefault="00D17CEF" w:rsidP="00C569FD">
      <w:pPr>
        <w:pStyle w:val="Heading1"/>
        <w:spacing w:before="120" w:after="0" w:line="276" w:lineRule="auto"/>
        <w:jc w:val="center"/>
        <w:rPr>
          <w:rFonts w:ascii="Times New Roman" w:hAnsi="Times New Roman"/>
          <w:color w:val="000000" w:themeColor="text1"/>
          <w:sz w:val="28"/>
          <w:szCs w:val="28"/>
        </w:rPr>
      </w:pPr>
      <w:r w:rsidRPr="000639A7">
        <w:rPr>
          <w:rFonts w:ascii="Times New Roman" w:hAnsi="Times New Roman"/>
          <w:color w:val="000000" w:themeColor="text1"/>
          <w:sz w:val="28"/>
          <w:szCs w:val="28"/>
        </w:rPr>
        <w:t>QUYẾT ĐỊNH:</w:t>
      </w:r>
    </w:p>
    <w:p w:rsidR="00424938" w:rsidRPr="00D72EE8" w:rsidRDefault="00260809" w:rsidP="00C569FD">
      <w:pPr>
        <w:pStyle w:val="BodyText"/>
        <w:spacing w:before="60" w:after="60"/>
        <w:ind w:firstLine="720"/>
        <w:jc w:val="both"/>
        <w:rPr>
          <w:color w:val="000000" w:themeColor="text1"/>
          <w:sz w:val="28"/>
          <w:szCs w:val="28"/>
        </w:rPr>
      </w:pPr>
      <w:r w:rsidRPr="004D1F75">
        <w:rPr>
          <w:b/>
          <w:bCs/>
          <w:color w:val="000000" w:themeColor="text1"/>
          <w:sz w:val="28"/>
          <w:szCs w:val="28"/>
        </w:rPr>
        <w:t>Điều 1</w:t>
      </w:r>
      <w:r w:rsidRPr="004D1F75">
        <w:rPr>
          <w:color w:val="000000" w:themeColor="text1"/>
          <w:sz w:val="28"/>
          <w:szCs w:val="28"/>
        </w:rPr>
        <w:t xml:space="preserve">. Công bố </w:t>
      </w:r>
      <w:r w:rsidR="00775964">
        <w:rPr>
          <w:color w:val="000000" w:themeColor="text1"/>
          <w:sz w:val="28"/>
          <w:szCs w:val="28"/>
        </w:rPr>
        <w:t>kèm theo Quyết định này</w:t>
      </w:r>
      <w:r w:rsidRPr="004D1F75">
        <w:rPr>
          <w:color w:val="000000" w:themeColor="text1"/>
          <w:sz w:val="28"/>
          <w:szCs w:val="28"/>
        </w:rPr>
        <w:t xml:space="preserve"> </w:t>
      </w:r>
      <w:r w:rsidR="0091569A">
        <w:rPr>
          <w:color w:val="000000" w:themeColor="text1"/>
          <w:sz w:val="28"/>
          <w:szCs w:val="28"/>
        </w:rPr>
        <w:t xml:space="preserve">Danh mục </w:t>
      </w:r>
      <w:r w:rsidRPr="004D1F75">
        <w:rPr>
          <w:color w:val="000000" w:themeColor="text1"/>
          <w:sz w:val="28"/>
          <w:szCs w:val="28"/>
        </w:rPr>
        <w:t>thủ tục hành chính</w:t>
      </w:r>
      <w:r w:rsidR="001D5126">
        <w:rPr>
          <w:color w:val="000000" w:themeColor="text1"/>
          <w:sz w:val="28"/>
          <w:szCs w:val="28"/>
        </w:rPr>
        <w:t xml:space="preserve"> sửa đổi, bổ sung trong lĩnh vực </w:t>
      </w:r>
      <w:proofErr w:type="gramStart"/>
      <w:r w:rsidR="001D5126">
        <w:rPr>
          <w:color w:val="000000" w:themeColor="text1"/>
          <w:sz w:val="28"/>
          <w:szCs w:val="28"/>
        </w:rPr>
        <w:t>An</w:t>
      </w:r>
      <w:proofErr w:type="gramEnd"/>
      <w:r w:rsidR="001D5126">
        <w:rPr>
          <w:color w:val="000000" w:themeColor="text1"/>
          <w:sz w:val="28"/>
          <w:szCs w:val="28"/>
        </w:rPr>
        <w:t xml:space="preserve"> toàn thực phẩm và dinh dưỡng</w:t>
      </w:r>
      <w:r w:rsidR="00424938">
        <w:rPr>
          <w:color w:val="000000" w:themeColor="text1"/>
          <w:sz w:val="28"/>
          <w:szCs w:val="28"/>
        </w:rPr>
        <w:t xml:space="preserve"> </w:t>
      </w:r>
      <w:r w:rsidRPr="004D1F75">
        <w:rPr>
          <w:color w:val="000000" w:themeColor="text1"/>
          <w:sz w:val="28"/>
          <w:szCs w:val="28"/>
        </w:rPr>
        <w:t xml:space="preserve">thuộc thẩm quyền giải quyết của Sở </w:t>
      </w:r>
      <w:r w:rsidR="009E2641">
        <w:rPr>
          <w:color w:val="000000" w:themeColor="text1"/>
          <w:sz w:val="28"/>
          <w:szCs w:val="28"/>
        </w:rPr>
        <w:t xml:space="preserve">Y tế </w:t>
      </w:r>
      <w:r w:rsidR="001D5126">
        <w:rPr>
          <w:color w:val="000000" w:themeColor="text1"/>
          <w:sz w:val="28"/>
          <w:szCs w:val="28"/>
        </w:rPr>
        <w:t>tỉnh Đắk Nông.</w:t>
      </w:r>
    </w:p>
    <w:p w:rsidR="00260809" w:rsidRDefault="00260809" w:rsidP="00C569FD">
      <w:pPr>
        <w:pStyle w:val="BodyText"/>
        <w:spacing w:before="60" w:after="60"/>
        <w:ind w:firstLine="720"/>
        <w:jc w:val="both"/>
        <w:rPr>
          <w:color w:val="000000" w:themeColor="text1"/>
          <w:spacing w:val="-4"/>
          <w:sz w:val="28"/>
          <w:szCs w:val="28"/>
        </w:rPr>
      </w:pPr>
      <w:r w:rsidRPr="005E0F32">
        <w:rPr>
          <w:b/>
          <w:bCs/>
          <w:color w:val="000000" w:themeColor="text1"/>
          <w:spacing w:val="-2"/>
          <w:sz w:val="28"/>
          <w:szCs w:val="28"/>
        </w:rPr>
        <w:t>Điều 2</w:t>
      </w:r>
      <w:r w:rsidRPr="005E0F32">
        <w:rPr>
          <w:color w:val="000000" w:themeColor="text1"/>
          <w:spacing w:val="-2"/>
          <w:sz w:val="28"/>
          <w:szCs w:val="28"/>
        </w:rPr>
        <w:t xml:space="preserve">. </w:t>
      </w:r>
      <w:r w:rsidR="001D5126" w:rsidRPr="001D5126">
        <w:rPr>
          <w:color w:val="000000" w:themeColor="text1"/>
          <w:spacing w:val="-4"/>
          <w:sz w:val="28"/>
          <w:szCs w:val="28"/>
        </w:rPr>
        <w:t>Giao Văn phòng UBND tỉnh cập nhật nội dung thủ tục hành chính vào CSDL Quốc gia về TTHC, niêm yết, công khai nội dung TTHC tại Trung tâm Phục vụ hành chính công theo quy định; Sở Thông tin và Truyền thông đồng bộ, cập nhật nội dung TTHC trên Cổng D</w:t>
      </w:r>
      <w:r w:rsidR="001D5126">
        <w:rPr>
          <w:color w:val="000000" w:themeColor="text1"/>
          <w:spacing w:val="-4"/>
          <w:sz w:val="28"/>
          <w:szCs w:val="28"/>
        </w:rPr>
        <w:t>ịch vụ công của tỉnh; Sở Y tế</w:t>
      </w:r>
      <w:r w:rsidR="001D5126" w:rsidRPr="001D5126">
        <w:rPr>
          <w:color w:val="000000" w:themeColor="text1"/>
          <w:spacing w:val="-4"/>
          <w:sz w:val="28"/>
          <w:szCs w:val="28"/>
        </w:rPr>
        <w:t xml:space="preserve"> cập nhật quy trình giải quyết TTHC trên Cổng Dịch vụ công của tỉnh theo quy định.</w:t>
      </w:r>
    </w:p>
    <w:p w:rsidR="001D5126" w:rsidRPr="001D5126" w:rsidRDefault="0091569A" w:rsidP="001D5126">
      <w:pPr>
        <w:pStyle w:val="BodyText"/>
        <w:spacing w:before="60" w:after="60"/>
        <w:ind w:firstLine="720"/>
        <w:jc w:val="both"/>
        <w:rPr>
          <w:color w:val="000000"/>
          <w:spacing w:val="-4"/>
          <w:sz w:val="28"/>
          <w:szCs w:val="28"/>
        </w:rPr>
      </w:pPr>
      <w:r>
        <w:rPr>
          <w:sz w:val="28"/>
          <w:szCs w:val="28"/>
        </w:rPr>
        <w:t>Danh mục t</w:t>
      </w:r>
      <w:r w:rsidR="001D5126" w:rsidRPr="007F1B10">
        <w:rPr>
          <w:sz w:val="28"/>
          <w:szCs w:val="28"/>
        </w:rPr>
        <w:t xml:space="preserve">hủ tục hành chính được </w:t>
      </w:r>
      <w:r w:rsidR="001D5126">
        <w:rPr>
          <w:sz w:val="28"/>
          <w:szCs w:val="28"/>
        </w:rPr>
        <w:t xml:space="preserve">sửa đổi, bổ sung </w:t>
      </w:r>
      <w:r w:rsidR="001D5126" w:rsidRPr="007F1B10">
        <w:rPr>
          <w:sz w:val="28"/>
          <w:szCs w:val="28"/>
        </w:rPr>
        <w:t xml:space="preserve">tại Quyết định này thay thế </w:t>
      </w:r>
      <w:r w:rsidR="001D5126">
        <w:rPr>
          <w:sz w:val="28"/>
          <w:szCs w:val="28"/>
        </w:rPr>
        <w:t xml:space="preserve">các </w:t>
      </w:r>
      <w:r w:rsidR="001D5126" w:rsidRPr="007F1B10">
        <w:rPr>
          <w:sz w:val="28"/>
          <w:szCs w:val="28"/>
        </w:rPr>
        <w:t xml:space="preserve">thủ tục hành chính tương ứng đã được công bố tại Quyết định số </w:t>
      </w:r>
      <w:r w:rsidR="00775964">
        <w:rPr>
          <w:sz w:val="28"/>
          <w:szCs w:val="28"/>
        </w:rPr>
        <w:t xml:space="preserve">644/QĐ-UBND ngày 26/4/2018 của Ủy ban nhân dân tỉnh Đắk Nông về việc công bố Danh mục thủ tục hành chính mới ban hành/bị bãi bỏ lĩnh vực </w:t>
      </w:r>
      <w:proofErr w:type="gramStart"/>
      <w:r w:rsidR="00775964">
        <w:rPr>
          <w:sz w:val="28"/>
          <w:szCs w:val="28"/>
        </w:rPr>
        <w:t>An</w:t>
      </w:r>
      <w:proofErr w:type="gramEnd"/>
      <w:r w:rsidR="00775964">
        <w:rPr>
          <w:sz w:val="28"/>
          <w:szCs w:val="28"/>
        </w:rPr>
        <w:t xml:space="preserve"> toàn thực phẩm và dinh dưỡng thuộc thẩm quyền quản lý của Sở Y tế tỉnh Đắk Nông.</w:t>
      </w:r>
    </w:p>
    <w:p w:rsidR="00260809" w:rsidRPr="000639A7" w:rsidRDefault="00D17CEF" w:rsidP="00C569FD">
      <w:pPr>
        <w:pStyle w:val="BodyText"/>
        <w:spacing w:before="60" w:after="60"/>
        <w:ind w:firstLine="720"/>
        <w:jc w:val="both"/>
        <w:rPr>
          <w:color w:val="000000" w:themeColor="text1"/>
          <w:sz w:val="28"/>
          <w:szCs w:val="28"/>
        </w:rPr>
      </w:pPr>
      <w:r w:rsidRPr="000639A7">
        <w:rPr>
          <w:b/>
          <w:bCs/>
          <w:color w:val="000000" w:themeColor="text1"/>
          <w:sz w:val="28"/>
          <w:szCs w:val="28"/>
        </w:rPr>
        <w:t>Điều 3</w:t>
      </w:r>
      <w:r w:rsidRPr="000639A7">
        <w:rPr>
          <w:color w:val="000000" w:themeColor="text1"/>
          <w:sz w:val="28"/>
          <w:szCs w:val="28"/>
        </w:rPr>
        <w:t xml:space="preserve">. </w:t>
      </w:r>
      <w:r w:rsidR="00260809" w:rsidRPr="000639A7">
        <w:rPr>
          <w:color w:val="000000" w:themeColor="text1"/>
          <w:sz w:val="28"/>
          <w:szCs w:val="28"/>
        </w:rPr>
        <w:t xml:space="preserve">Quyết định này có hiệu lực thi hành kể từ ngày ký. </w:t>
      </w:r>
    </w:p>
    <w:p w:rsidR="009E2641" w:rsidRPr="009E2641" w:rsidRDefault="009E2641" w:rsidP="009E2641">
      <w:pPr>
        <w:spacing w:before="120" w:after="120"/>
        <w:ind w:firstLine="720"/>
        <w:jc w:val="both"/>
        <w:rPr>
          <w:spacing w:val="2"/>
          <w:sz w:val="28"/>
          <w:szCs w:val="28"/>
          <w:lang w:val="pt-BR"/>
        </w:rPr>
      </w:pPr>
      <w:r w:rsidRPr="009E2641">
        <w:rPr>
          <w:bCs/>
          <w:spacing w:val="2"/>
          <w:sz w:val="28"/>
          <w:szCs w:val="28"/>
          <w:lang w:val="pt-BR"/>
        </w:rPr>
        <w:t>Chánh Văn phòng UBND tỉnh;</w:t>
      </w:r>
      <w:r w:rsidRPr="009E2641">
        <w:rPr>
          <w:spacing w:val="2"/>
          <w:sz w:val="28"/>
          <w:szCs w:val="28"/>
          <w:lang w:val="pt-BR"/>
        </w:rPr>
        <w:t xml:space="preserve"> Giám đốc Sở Y tế; Giám đốc Sở Thông tin và Truyền thông; Thủ trưởng các Sở, Ban, ngành; Chủ tịch UBND các huyện, thành phố và các tổ chức, cá nhân có liên quan chịu trách nhiệm thi hành Quyết định này./. </w:t>
      </w:r>
    </w:p>
    <w:p w:rsidR="00E57706" w:rsidRPr="005E0F32" w:rsidRDefault="00E57706" w:rsidP="005E0F32">
      <w:pPr>
        <w:pStyle w:val="BodyText"/>
        <w:spacing w:before="60" w:after="60"/>
        <w:ind w:firstLine="720"/>
        <w:jc w:val="both"/>
        <w:rPr>
          <w:color w:val="000000" w:themeColor="text1"/>
          <w:sz w:val="28"/>
          <w:szCs w:val="28"/>
        </w:rPr>
      </w:pPr>
    </w:p>
    <w:p w:rsidR="00221997" w:rsidRPr="00DE0146" w:rsidRDefault="00221997" w:rsidP="00221997">
      <w:pPr>
        <w:pStyle w:val="BodyText"/>
        <w:spacing w:after="0"/>
        <w:ind w:firstLine="720"/>
        <w:jc w:val="both"/>
        <w:rPr>
          <w:bCs/>
          <w:sz w:val="6"/>
          <w:szCs w:val="10"/>
        </w:rPr>
      </w:pPr>
    </w:p>
    <w:tbl>
      <w:tblPr>
        <w:tblW w:w="0" w:type="auto"/>
        <w:tblInd w:w="18" w:type="dxa"/>
        <w:tblLook w:val="00A0" w:firstRow="1" w:lastRow="0" w:firstColumn="1" w:lastColumn="0" w:noHBand="0" w:noVBand="0"/>
      </w:tblPr>
      <w:tblGrid>
        <w:gridCol w:w="4320"/>
        <w:gridCol w:w="4860"/>
      </w:tblGrid>
      <w:tr w:rsidR="00D17CEF" w:rsidRPr="003645AA" w:rsidTr="00221997">
        <w:tc>
          <w:tcPr>
            <w:tcW w:w="4320" w:type="dxa"/>
          </w:tcPr>
          <w:p w:rsidR="00E41DF7" w:rsidRPr="00E41DF7" w:rsidRDefault="00E41DF7" w:rsidP="00E41DF7">
            <w:pPr>
              <w:rPr>
                <w:b/>
                <w:i/>
                <w:sz w:val="24"/>
              </w:rPr>
            </w:pPr>
            <w:r w:rsidRPr="00E41DF7">
              <w:rPr>
                <w:b/>
                <w:i/>
                <w:sz w:val="24"/>
              </w:rPr>
              <w:t>Nơi nhận:</w:t>
            </w:r>
          </w:p>
          <w:p w:rsidR="00E41DF7" w:rsidRPr="00E41DF7" w:rsidRDefault="00025FE7" w:rsidP="00E41DF7">
            <w:pPr>
              <w:rPr>
                <w:sz w:val="22"/>
              </w:rPr>
            </w:pPr>
            <w:r>
              <w:rPr>
                <w:sz w:val="22"/>
                <w:szCs w:val="22"/>
              </w:rPr>
              <w:t>- Như Đ</w:t>
            </w:r>
            <w:r w:rsidR="00E41DF7" w:rsidRPr="00E41DF7">
              <w:rPr>
                <w:sz w:val="22"/>
                <w:szCs w:val="22"/>
              </w:rPr>
              <w:t>iều 3;</w:t>
            </w:r>
          </w:p>
          <w:p w:rsidR="00E41DF7" w:rsidRDefault="00E41DF7" w:rsidP="00E41DF7">
            <w:pPr>
              <w:rPr>
                <w:sz w:val="22"/>
              </w:rPr>
            </w:pPr>
            <w:r w:rsidRPr="00E41DF7">
              <w:rPr>
                <w:sz w:val="22"/>
                <w:szCs w:val="22"/>
              </w:rPr>
              <w:t xml:space="preserve">- </w:t>
            </w:r>
            <w:r>
              <w:rPr>
                <w:sz w:val="22"/>
                <w:szCs w:val="22"/>
              </w:rPr>
              <w:t>Cục K</w:t>
            </w:r>
            <w:r w:rsidR="00251CA7">
              <w:rPr>
                <w:sz w:val="22"/>
                <w:szCs w:val="22"/>
              </w:rPr>
              <w:t>iểm soát TTHC -</w:t>
            </w:r>
            <w:r w:rsidR="000639A7">
              <w:rPr>
                <w:sz w:val="22"/>
                <w:szCs w:val="22"/>
              </w:rPr>
              <w:t xml:space="preserve"> VPCP</w:t>
            </w:r>
            <w:r w:rsidR="00056D25">
              <w:rPr>
                <w:sz w:val="22"/>
                <w:szCs w:val="22"/>
              </w:rPr>
              <w:t>;</w:t>
            </w:r>
          </w:p>
          <w:p w:rsidR="00E41DF7" w:rsidRPr="003645AA" w:rsidRDefault="00E41DF7" w:rsidP="00E41DF7">
            <w:pPr>
              <w:rPr>
                <w:color w:val="000000" w:themeColor="text1"/>
                <w:sz w:val="22"/>
              </w:rPr>
            </w:pPr>
            <w:r w:rsidRPr="003645AA">
              <w:rPr>
                <w:color w:val="000000" w:themeColor="text1"/>
                <w:sz w:val="22"/>
                <w:szCs w:val="22"/>
              </w:rPr>
              <w:t>- CT, các PCT UBND tỉnh;</w:t>
            </w:r>
          </w:p>
          <w:p w:rsidR="00E41DF7" w:rsidRDefault="00E41DF7" w:rsidP="00E41DF7">
            <w:pPr>
              <w:rPr>
                <w:color w:val="000000" w:themeColor="text1"/>
                <w:sz w:val="22"/>
                <w:szCs w:val="22"/>
              </w:rPr>
            </w:pPr>
            <w:r w:rsidRPr="003645AA">
              <w:rPr>
                <w:color w:val="000000" w:themeColor="text1"/>
                <w:sz w:val="22"/>
                <w:szCs w:val="22"/>
              </w:rPr>
              <w:t xml:space="preserve">- </w:t>
            </w:r>
            <w:r>
              <w:rPr>
                <w:color w:val="000000" w:themeColor="text1"/>
                <w:sz w:val="22"/>
                <w:szCs w:val="22"/>
              </w:rPr>
              <w:t>C</w:t>
            </w:r>
            <w:r w:rsidRPr="003645AA">
              <w:rPr>
                <w:color w:val="000000" w:themeColor="text1"/>
                <w:sz w:val="22"/>
                <w:szCs w:val="22"/>
              </w:rPr>
              <w:t>ác PCVP UBND tỉnh;</w:t>
            </w:r>
          </w:p>
          <w:p w:rsidR="00E41DF7" w:rsidRDefault="00E41DF7" w:rsidP="00E41DF7">
            <w:pPr>
              <w:rPr>
                <w:color w:val="000000" w:themeColor="text1"/>
                <w:sz w:val="22"/>
                <w:szCs w:val="22"/>
              </w:rPr>
            </w:pPr>
            <w:r>
              <w:rPr>
                <w:color w:val="000000" w:themeColor="text1"/>
                <w:sz w:val="22"/>
                <w:szCs w:val="22"/>
              </w:rPr>
              <w:t>- Cổng Thông tin điện tử</w:t>
            </w:r>
            <w:r w:rsidR="00AE013A">
              <w:rPr>
                <w:color w:val="000000" w:themeColor="text1"/>
                <w:sz w:val="22"/>
                <w:szCs w:val="22"/>
              </w:rPr>
              <w:t xml:space="preserve"> tỉnh</w:t>
            </w:r>
            <w:r>
              <w:rPr>
                <w:color w:val="000000" w:themeColor="text1"/>
                <w:sz w:val="22"/>
                <w:szCs w:val="22"/>
              </w:rPr>
              <w:t>;</w:t>
            </w:r>
          </w:p>
          <w:p w:rsidR="007A4C60" w:rsidRDefault="007A4C60" w:rsidP="007A4C60">
            <w:pPr>
              <w:rPr>
                <w:color w:val="000000" w:themeColor="text1"/>
                <w:sz w:val="22"/>
              </w:rPr>
            </w:pPr>
            <w:r>
              <w:rPr>
                <w:color w:val="000000" w:themeColor="text1"/>
                <w:sz w:val="22"/>
                <w:szCs w:val="22"/>
              </w:rPr>
              <w:t>- Viễn Thông Đắk Nông;</w:t>
            </w:r>
          </w:p>
          <w:p w:rsidR="000639A7" w:rsidRPr="000639A7" w:rsidRDefault="00E41DF7" w:rsidP="000639A7">
            <w:pPr>
              <w:rPr>
                <w:sz w:val="22"/>
              </w:rPr>
            </w:pPr>
            <w:r w:rsidRPr="003645AA">
              <w:rPr>
                <w:color w:val="000000" w:themeColor="text1"/>
                <w:sz w:val="22"/>
                <w:szCs w:val="22"/>
              </w:rPr>
              <w:t xml:space="preserve">- Lưu: VT, </w:t>
            </w:r>
            <w:r w:rsidR="001012E0">
              <w:rPr>
                <w:color w:val="000000" w:themeColor="text1"/>
                <w:sz w:val="22"/>
                <w:szCs w:val="22"/>
              </w:rPr>
              <w:t>NC</w:t>
            </w:r>
            <w:r w:rsidR="00A9782B">
              <w:rPr>
                <w:color w:val="000000" w:themeColor="text1"/>
                <w:sz w:val="22"/>
                <w:szCs w:val="22"/>
              </w:rPr>
              <w:t xml:space="preserve"> (Lg)</w:t>
            </w:r>
            <w:r w:rsidRPr="003645AA">
              <w:rPr>
                <w:color w:val="000000" w:themeColor="text1"/>
                <w:sz w:val="22"/>
                <w:szCs w:val="22"/>
              </w:rPr>
              <w:t>.</w:t>
            </w:r>
          </w:p>
        </w:tc>
        <w:tc>
          <w:tcPr>
            <w:tcW w:w="4860" w:type="dxa"/>
          </w:tcPr>
          <w:p w:rsidR="00E12478" w:rsidRDefault="00C569FD" w:rsidP="00686FCE">
            <w:pPr>
              <w:jc w:val="center"/>
              <w:rPr>
                <w:b/>
                <w:bCs/>
                <w:color w:val="000000"/>
                <w:sz w:val="28"/>
                <w:szCs w:val="28"/>
              </w:rPr>
            </w:pPr>
            <w:r>
              <w:rPr>
                <w:b/>
                <w:bCs/>
                <w:color w:val="000000"/>
                <w:sz w:val="28"/>
                <w:szCs w:val="28"/>
              </w:rPr>
              <w:t xml:space="preserve">KT. </w:t>
            </w:r>
            <w:r w:rsidR="00686FCE" w:rsidRPr="004E4647">
              <w:rPr>
                <w:b/>
                <w:bCs/>
                <w:color w:val="000000"/>
                <w:sz w:val="28"/>
                <w:szCs w:val="28"/>
              </w:rPr>
              <w:t>CHỦ TỊCH</w:t>
            </w:r>
          </w:p>
          <w:p w:rsidR="00221997" w:rsidRDefault="00C569FD" w:rsidP="00686FCE">
            <w:pPr>
              <w:jc w:val="center"/>
              <w:rPr>
                <w:b/>
                <w:bCs/>
                <w:color w:val="000000"/>
                <w:sz w:val="28"/>
                <w:szCs w:val="28"/>
              </w:rPr>
            </w:pPr>
            <w:r>
              <w:rPr>
                <w:b/>
                <w:bCs/>
                <w:color w:val="000000"/>
                <w:sz w:val="28"/>
                <w:szCs w:val="28"/>
              </w:rPr>
              <w:t>PHÓ CHỦ TỊCH</w:t>
            </w:r>
          </w:p>
          <w:p w:rsidR="00C569FD" w:rsidRDefault="00C569FD" w:rsidP="00686FCE">
            <w:pPr>
              <w:jc w:val="center"/>
              <w:rPr>
                <w:b/>
                <w:bCs/>
                <w:color w:val="000000"/>
                <w:sz w:val="28"/>
                <w:szCs w:val="28"/>
              </w:rPr>
            </w:pPr>
          </w:p>
          <w:p w:rsidR="00C569FD" w:rsidRDefault="00C569FD" w:rsidP="00686FCE">
            <w:pPr>
              <w:jc w:val="center"/>
              <w:rPr>
                <w:b/>
                <w:bCs/>
                <w:color w:val="000000"/>
                <w:sz w:val="28"/>
                <w:szCs w:val="28"/>
              </w:rPr>
            </w:pPr>
          </w:p>
          <w:p w:rsidR="005E0F32" w:rsidRDefault="005E0F32" w:rsidP="00686FCE">
            <w:pPr>
              <w:jc w:val="center"/>
              <w:rPr>
                <w:b/>
                <w:bCs/>
                <w:color w:val="000000"/>
                <w:sz w:val="28"/>
                <w:szCs w:val="28"/>
              </w:rPr>
            </w:pPr>
          </w:p>
          <w:p w:rsidR="00C569FD" w:rsidRDefault="00C569FD" w:rsidP="00686FCE">
            <w:pPr>
              <w:jc w:val="center"/>
              <w:rPr>
                <w:b/>
                <w:bCs/>
                <w:color w:val="000000"/>
                <w:sz w:val="28"/>
                <w:szCs w:val="28"/>
              </w:rPr>
            </w:pPr>
          </w:p>
          <w:p w:rsidR="00C569FD" w:rsidRDefault="00C569FD" w:rsidP="00686FCE">
            <w:pPr>
              <w:jc w:val="center"/>
              <w:rPr>
                <w:b/>
                <w:bCs/>
                <w:color w:val="000000"/>
                <w:sz w:val="28"/>
                <w:szCs w:val="28"/>
              </w:rPr>
            </w:pPr>
          </w:p>
          <w:p w:rsidR="00AE013A" w:rsidRPr="00686FCE" w:rsidRDefault="00C569FD" w:rsidP="005E0F32">
            <w:pPr>
              <w:jc w:val="center"/>
              <w:rPr>
                <w:b/>
                <w:bCs/>
                <w:color w:val="000000"/>
                <w:sz w:val="28"/>
                <w:szCs w:val="28"/>
              </w:rPr>
            </w:pPr>
            <w:r>
              <w:rPr>
                <w:b/>
                <w:bCs/>
                <w:color w:val="000000"/>
                <w:sz w:val="28"/>
                <w:szCs w:val="28"/>
              </w:rPr>
              <w:t>Lê Văn Chiến</w:t>
            </w:r>
          </w:p>
        </w:tc>
      </w:tr>
    </w:tbl>
    <w:p w:rsidR="003B0378" w:rsidRDefault="003B0378">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775964" w:rsidRDefault="00775964">
      <w:pPr>
        <w:spacing w:line="276" w:lineRule="auto"/>
      </w:pPr>
    </w:p>
    <w:p w:rsidR="001758B1" w:rsidRDefault="001758B1" w:rsidP="000639A7">
      <w:pPr>
        <w:sectPr w:rsidR="001758B1" w:rsidSect="00775964">
          <w:headerReference w:type="even" r:id="rId7"/>
          <w:headerReference w:type="default" r:id="rId8"/>
          <w:footerReference w:type="even" r:id="rId9"/>
          <w:footerReference w:type="default" r:id="rId10"/>
          <w:headerReference w:type="first" r:id="rId11"/>
          <w:footerReference w:type="first" r:id="rId12"/>
          <w:pgSz w:w="11909" w:h="16834" w:code="9"/>
          <w:pgMar w:top="851" w:right="1138" w:bottom="426" w:left="1699" w:header="0" w:footer="0" w:gutter="0"/>
          <w:cols w:space="720"/>
          <w:docGrid w:linePitch="381"/>
        </w:sectPr>
      </w:pPr>
    </w:p>
    <w:p w:rsidR="001758B1" w:rsidRPr="001758B1" w:rsidRDefault="0091569A" w:rsidP="0091569A">
      <w:pPr>
        <w:jc w:val="center"/>
        <w:rPr>
          <w:rFonts w:eastAsia="Calibri"/>
          <w:b/>
          <w:sz w:val="28"/>
          <w:szCs w:val="28"/>
        </w:rPr>
      </w:pPr>
      <w:r>
        <w:rPr>
          <w:rFonts w:eastAsia="Calibri"/>
          <w:b/>
          <w:sz w:val="28"/>
          <w:szCs w:val="28"/>
        </w:rPr>
        <w:lastRenderedPageBreak/>
        <w:t xml:space="preserve">DANH MỤC </w:t>
      </w:r>
      <w:r w:rsidR="001758B1" w:rsidRPr="001758B1">
        <w:rPr>
          <w:rFonts w:eastAsia="Calibri"/>
          <w:b/>
          <w:sz w:val="28"/>
          <w:szCs w:val="28"/>
        </w:rPr>
        <w:t>THỦ TỤC HÀNH CHÍNH ĐƯỢC SỬA ĐỔI</w:t>
      </w:r>
      <w:r>
        <w:rPr>
          <w:rFonts w:eastAsia="Calibri"/>
          <w:b/>
          <w:sz w:val="28"/>
          <w:szCs w:val="28"/>
        </w:rPr>
        <w:t>,</w:t>
      </w:r>
      <w:r w:rsidR="001758B1" w:rsidRPr="001758B1">
        <w:rPr>
          <w:rFonts w:eastAsia="Calibri"/>
          <w:b/>
          <w:sz w:val="28"/>
          <w:szCs w:val="28"/>
        </w:rPr>
        <w:t xml:space="preserve"> BỔ SUNG TRONG LĨNH VỰC </w:t>
      </w:r>
      <w:r w:rsidR="001758B1">
        <w:rPr>
          <w:rFonts w:eastAsia="Calibri"/>
          <w:b/>
          <w:sz w:val="28"/>
          <w:szCs w:val="28"/>
        </w:rPr>
        <w:t xml:space="preserve">AN TOÀN THỰC PHẨM VÀ DINH DƯỠNG </w:t>
      </w:r>
      <w:r w:rsidR="001758B1" w:rsidRPr="001758B1">
        <w:rPr>
          <w:rFonts w:eastAsia="Calibri"/>
          <w:b/>
          <w:sz w:val="28"/>
          <w:szCs w:val="28"/>
        </w:rPr>
        <w:t xml:space="preserve">THUỘC PHẠM VI CHỨC NĂNG QUẢN LÝ CỦA </w:t>
      </w:r>
      <w:r w:rsidR="001758B1">
        <w:rPr>
          <w:rFonts w:eastAsia="Calibri"/>
          <w:b/>
          <w:sz w:val="28"/>
          <w:szCs w:val="28"/>
        </w:rPr>
        <w:t>SỞ Y TẾ</w:t>
      </w:r>
    </w:p>
    <w:p w:rsidR="001758B1" w:rsidRPr="001758B1" w:rsidRDefault="001758B1" w:rsidP="001758B1">
      <w:pPr>
        <w:jc w:val="center"/>
        <w:rPr>
          <w:rFonts w:eastAsia="Calibri"/>
          <w:i/>
          <w:sz w:val="28"/>
          <w:szCs w:val="28"/>
        </w:rPr>
      </w:pPr>
      <w:r w:rsidRPr="001758B1">
        <w:rPr>
          <w:rFonts w:eastAsia="Calibri"/>
          <w:i/>
          <w:sz w:val="28"/>
          <w:szCs w:val="28"/>
        </w:rPr>
        <w:t>(Ban hành kèm theo Quyết định số          /QĐ-UBND ngày      tháng 6 năm 2024 của Chủ tịch UBND tỉnh Đắk Nông)</w:t>
      </w:r>
    </w:p>
    <w:p w:rsidR="001758B1" w:rsidRPr="001758B1" w:rsidRDefault="001758B1" w:rsidP="001758B1">
      <w:pPr>
        <w:jc w:val="center"/>
        <w:rPr>
          <w:rFonts w:eastAsia="Calibri"/>
          <w:b/>
          <w:sz w:val="28"/>
          <w:szCs w:val="28"/>
        </w:rPr>
      </w:pPr>
      <w:r w:rsidRPr="001758B1">
        <w:rPr>
          <w:rFonts w:eastAsia="Calibri"/>
          <w:b/>
          <w:noProof/>
          <w:sz w:val="28"/>
          <w:szCs w:val="28"/>
        </w:rPr>
        <mc:AlternateContent>
          <mc:Choice Requires="wps">
            <w:drawing>
              <wp:anchor distT="0" distB="0" distL="114300" distR="114300" simplePos="0" relativeHeight="251668480" behindDoc="0" locked="0" layoutInCell="1" allowOverlap="1">
                <wp:simplePos x="0" y="0"/>
                <wp:positionH relativeFrom="column">
                  <wp:posOffset>3566160</wp:posOffset>
                </wp:positionH>
                <wp:positionV relativeFrom="paragraph">
                  <wp:posOffset>80010</wp:posOffset>
                </wp:positionV>
                <wp:extent cx="2000250" cy="0"/>
                <wp:effectExtent l="13335" t="13335" r="571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FB487" id="_x0000_t32" coordsize="21600,21600" o:spt="32" o:oned="t" path="m,l21600,21600e" filled="f">
                <v:path arrowok="t" fillok="f" o:connecttype="none"/>
                <o:lock v:ext="edit" shapetype="t"/>
              </v:shapetype>
              <v:shape id="Straight Arrow Connector 2" o:spid="_x0000_s1026" type="#_x0000_t32" style="position:absolute;margin-left:280.8pt;margin-top:6.3pt;width:1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"/>
            </w:pict>
          </mc:Fallback>
        </mc:AlternateContent>
      </w:r>
    </w:p>
    <w:p w:rsidR="001758B1" w:rsidRPr="001758B1" w:rsidRDefault="001758B1" w:rsidP="001758B1">
      <w:pPr>
        <w:spacing w:after="240"/>
        <w:rPr>
          <w:rFonts w:eastAsia="Calibri"/>
          <w:b/>
          <w:sz w:val="28"/>
          <w:szCs w:val="28"/>
        </w:rPr>
      </w:pPr>
    </w:p>
    <w:p w:rsidR="001758B1" w:rsidRPr="001758B1" w:rsidRDefault="001758B1" w:rsidP="001758B1">
      <w:pPr>
        <w:spacing w:after="240"/>
        <w:rPr>
          <w:rFonts w:eastAsia="Calibri"/>
          <w:b/>
          <w:sz w:val="28"/>
          <w:szCs w:val="28"/>
        </w:rPr>
      </w:pPr>
      <w:r w:rsidRPr="001758B1">
        <w:rPr>
          <w:rFonts w:eastAsia="Calibri"/>
          <w:b/>
          <w:sz w:val="28"/>
          <w:szCs w:val="28"/>
        </w:rPr>
        <w:t>THỦ TỤC HÀNH CHÍNH CẤP TỈNH</w:t>
      </w:r>
    </w:p>
    <w:tbl>
      <w:tblPr>
        <w:tblW w:w="15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7"/>
        <w:gridCol w:w="1276"/>
        <w:gridCol w:w="3020"/>
        <w:gridCol w:w="5460"/>
        <w:gridCol w:w="2977"/>
        <w:gridCol w:w="1177"/>
        <w:gridCol w:w="1017"/>
      </w:tblGrid>
      <w:tr w:rsidR="001758B1" w:rsidRPr="001758B1" w:rsidTr="00A458C4">
        <w:trPr>
          <w:jc w:val="center"/>
        </w:trPr>
        <w:tc>
          <w:tcPr>
            <w:tcW w:w="467" w:type="dxa"/>
            <w:shd w:val="clear" w:color="auto" w:fill="auto"/>
            <w:vAlign w:val="center"/>
          </w:tcPr>
          <w:p w:rsidR="001758B1" w:rsidRPr="001758B1" w:rsidRDefault="001758B1" w:rsidP="001758B1">
            <w:pPr>
              <w:spacing w:before="120" w:after="120"/>
              <w:jc w:val="center"/>
              <w:rPr>
                <w:rFonts w:eastAsia="Calibri"/>
                <w:b/>
                <w:sz w:val="24"/>
              </w:rPr>
            </w:pPr>
            <w:r w:rsidRPr="001758B1">
              <w:rPr>
                <w:rFonts w:eastAsia="Calibri"/>
                <w:b/>
                <w:sz w:val="24"/>
              </w:rPr>
              <w:t>TT</w:t>
            </w:r>
          </w:p>
        </w:tc>
        <w:tc>
          <w:tcPr>
            <w:tcW w:w="1276" w:type="dxa"/>
            <w:shd w:val="clear" w:color="auto" w:fill="auto"/>
            <w:vAlign w:val="center"/>
          </w:tcPr>
          <w:p w:rsidR="001758B1" w:rsidRPr="001758B1" w:rsidRDefault="001758B1" w:rsidP="001758B1">
            <w:pPr>
              <w:spacing w:before="120" w:after="120"/>
              <w:jc w:val="center"/>
              <w:rPr>
                <w:rFonts w:eastAsia="Calibri"/>
                <w:b/>
                <w:sz w:val="24"/>
              </w:rPr>
            </w:pPr>
            <w:r w:rsidRPr="001758B1">
              <w:rPr>
                <w:rFonts w:eastAsia="Calibri"/>
                <w:b/>
                <w:sz w:val="24"/>
              </w:rPr>
              <w:t>Tên TTHC</w:t>
            </w:r>
          </w:p>
        </w:tc>
        <w:tc>
          <w:tcPr>
            <w:tcW w:w="3020" w:type="dxa"/>
            <w:shd w:val="clear" w:color="auto" w:fill="auto"/>
            <w:vAlign w:val="center"/>
          </w:tcPr>
          <w:p w:rsidR="001758B1" w:rsidRPr="001758B1" w:rsidRDefault="001758B1" w:rsidP="001758B1">
            <w:pPr>
              <w:spacing w:before="120" w:after="120"/>
              <w:jc w:val="center"/>
              <w:rPr>
                <w:rFonts w:eastAsia="Calibri"/>
                <w:b/>
                <w:sz w:val="24"/>
              </w:rPr>
            </w:pPr>
            <w:r w:rsidRPr="001758B1">
              <w:rPr>
                <w:rFonts w:eastAsia="Calibri"/>
                <w:b/>
                <w:sz w:val="24"/>
              </w:rPr>
              <w:t>Thành phần, số lượng hồ sơ</w:t>
            </w:r>
          </w:p>
        </w:tc>
        <w:tc>
          <w:tcPr>
            <w:tcW w:w="5460" w:type="dxa"/>
            <w:shd w:val="clear" w:color="auto" w:fill="auto"/>
            <w:vAlign w:val="center"/>
          </w:tcPr>
          <w:p w:rsidR="001758B1" w:rsidRPr="001758B1" w:rsidRDefault="001758B1" w:rsidP="001758B1">
            <w:pPr>
              <w:spacing w:before="120" w:after="120"/>
              <w:jc w:val="center"/>
              <w:rPr>
                <w:rFonts w:eastAsia="Calibri"/>
                <w:b/>
                <w:sz w:val="24"/>
              </w:rPr>
            </w:pPr>
            <w:r w:rsidRPr="001758B1">
              <w:rPr>
                <w:rFonts w:eastAsia="Calibri"/>
                <w:b/>
                <w:sz w:val="24"/>
              </w:rPr>
              <w:t>Trình tự thực hiện, thời gian giải quyết</w:t>
            </w:r>
          </w:p>
        </w:tc>
        <w:tc>
          <w:tcPr>
            <w:tcW w:w="2977" w:type="dxa"/>
            <w:shd w:val="clear" w:color="auto" w:fill="auto"/>
            <w:vAlign w:val="center"/>
          </w:tcPr>
          <w:p w:rsidR="001758B1" w:rsidRPr="001758B1" w:rsidRDefault="001758B1" w:rsidP="001758B1">
            <w:pPr>
              <w:spacing w:before="120" w:after="120"/>
              <w:jc w:val="center"/>
              <w:rPr>
                <w:rFonts w:eastAsia="Calibri"/>
                <w:b/>
                <w:sz w:val="24"/>
              </w:rPr>
            </w:pPr>
            <w:r w:rsidRPr="001758B1">
              <w:rPr>
                <w:rFonts w:eastAsia="Calibri"/>
                <w:b/>
                <w:sz w:val="24"/>
              </w:rPr>
              <w:t>Căn cứ pháp lý</w:t>
            </w:r>
          </w:p>
        </w:tc>
        <w:tc>
          <w:tcPr>
            <w:tcW w:w="1177" w:type="dxa"/>
            <w:shd w:val="clear" w:color="auto" w:fill="auto"/>
            <w:vAlign w:val="center"/>
          </w:tcPr>
          <w:p w:rsidR="001758B1" w:rsidRPr="001758B1" w:rsidRDefault="001758B1" w:rsidP="001758B1">
            <w:pPr>
              <w:spacing w:before="120" w:after="120"/>
              <w:jc w:val="center"/>
              <w:rPr>
                <w:rFonts w:eastAsia="Calibri"/>
                <w:b/>
                <w:sz w:val="24"/>
              </w:rPr>
            </w:pPr>
            <w:r w:rsidRPr="001758B1">
              <w:rPr>
                <w:rFonts w:eastAsia="Calibri"/>
                <w:b/>
                <w:sz w:val="24"/>
              </w:rPr>
              <w:t>Phí, lệ phí</w:t>
            </w:r>
          </w:p>
        </w:tc>
        <w:tc>
          <w:tcPr>
            <w:tcW w:w="1017" w:type="dxa"/>
            <w:shd w:val="clear" w:color="auto" w:fill="auto"/>
            <w:vAlign w:val="center"/>
          </w:tcPr>
          <w:p w:rsidR="001758B1" w:rsidRPr="001758B1" w:rsidRDefault="001758B1" w:rsidP="001758B1">
            <w:pPr>
              <w:spacing w:before="120" w:after="120"/>
              <w:jc w:val="center"/>
              <w:rPr>
                <w:rFonts w:eastAsia="Calibri"/>
                <w:b/>
                <w:sz w:val="24"/>
              </w:rPr>
            </w:pPr>
            <w:r w:rsidRPr="001758B1">
              <w:rPr>
                <w:rFonts w:eastAsia="Calibri"/>
                <w:b/>
                <w:sz w:val="24"/>
              </w:rPr>
              <w:t>Số hồ sơ TTHC</w:t>
            </w:r>
          </w:p>
        </w:tc>
      </w:tr>
      <w:tr w:rsidR="001758B1" w:rsidRPr="001758B1" w:rsidTr="00A458C4">
        <w:trPr>
          <w:jc w:val="center"/>
        </w:trPr>
        <w:tc>
          <w:tcPr>
            <w:tcW w:w="467" w:type="dxa"/>
            <w:shd w:val="clear" w:color="auto" w:fill="auto"/>
          </w:tcPr>
          <w:p w:rsidR="001758B1" w:rsidRPr="001758B1" w:rsidRDefault="001758B1" w:rsidP="001758B1">
            <w:pPr>
              <w:spacing w:before="120" w:after="120"/>
              <w:jc w:val="center"/>
              <w:rPr>
                <w:rFonts w:eastAsia="Calibri"/>
                <w:b/>
                <w:bCs/>
                <w:sz w:val="24"/>
              </w:rPr>
            </w:pPr>
            <w:r w:rsidRPr="001758B1">
              <w:rPr>
                <w:rFonts w:eastAsia="Calibri"/>
                <w:b/>
                <w:bCs/>
                <w:sz w:val="24"/>
              </w:rPr>
              <w:t>1</w:t>
            </w:r>
          </w:p>
        </w:tc>
        <w:tc>
          <w:tcPr>
            <w:tcW w:w="1276" w:type="dxa"/>
            <w:shd w:val="clear" w:color="auto" w:fill="auto"/>
          </w:tcPr>
          <w:p w:rsidR="001758B1" w:rsidRPr="001758B1" w:rsidRDefault="001758B1" w:rsidP="001758B1">
            <w:pPr>
              <w:spacing w:before="120" w:after="120"/>
              <w:jc w:val="both"/>
              <w:rPr>
                <w:rFonts w:eastAsia="Calibri"/>
                <w:b/>
                <w:bCs/>
                <w:sz w:val="24"/>
              </w:rPr>
            </w:pPr>
            <w:bookmarkStart w:id="0" w:name="dieu_4_name"/>
            <w:r w:rsidRPr="001758B1">
              <w:rPr>
                <w:sz w:val="24"/>
              </w:rPr>
              <w:t>Đăng ký nội dung quảng cáo đối với sản phẩm dinh dưỡng y học, thực phẩm dùng cho chế độ ăn đặc biệt, sản phẩm dinh dưỡng dùng cho trẻ đến 36 tháng tuổi</w:t>
            </w:r>
            <w:bookmarkEnd w:id="0"/>
          </w:p>
        </w:tc>
        <w:tc>
          <w:tcPr>
            <w:tcW w:w="3020" w:type="dxa"/>
            <w:shd w:val="clear" w:color="auto" w:fill="auto"/>
          </w:tcPr>
          <w:p w:rsidR="001758B1" w:rsidRPr="001758B1" w:rsidRDefault="001758B1" w:rsidP="007C2404">
            <w:pPr>
              <w:shd w:val="clear" w:color="auto" w:fill="FFFFFF"/>
              <w:jc w:val="both"/>
              <w:rPr>
                <w:sz w:val="24"/>
              </w:rPr>
            </w:pPr>
            <w:r w:rsidRPr="001758B1">
              <w:rPr>
                <w:b/>
                <w:bCs/>
                <w:sz w:val="24"/>
              </w:rPr>
              <w:t>1. Thành phần hồ sơ:</w:t>
            </w:r>
          </w:p>
          <w:p w:rsidR="001758B1" w:rsidRPr="001758B1" w:rsidRDefault="001758B1" w:rsidP="007C2404">
            <w:pPr>
              <w:jc w:val="both"/>
              <w:rPr>
                <w:sz w:val="24"/>
              </w:rPr>
            </w:pPr>
            <w:r w:rsidRPr="001758B1">
              <w:rPr>
                <w:sz w:val="24"/>
              </w:rPr>
              <w:t>- Đơn đăng ký xác nhận nội dung quảng cáo theo Mẫu số 10 Phụ lục I ban hành kèm theo Nghị định số 15/2018/NĐ-CP ngày 2/2/2018 của Chính phủ quy định chi tiết thi hành một số điều của Luật an toàn thực phẩm;</w:t>
            </w:r>
          </w:p>
          <w:p w:rsidR="001758B1" w:rsidRPr="001758B1" w:rsidRDefault="001758B1" w:rsidP="007C2404">
            <w:pPr>
              <w:jc w:val="both"/>
              <w:rPr>
                <w:sz w:val="24"/>
              </w:rPr>
            </w:pPr>
            <w:r>
              <w:rPr>
                <w:sz w:val="24"/>
              </w:rPr>
              <w:t xml:space="preserve">- </w:t>
            </w:r>
            <w:r w:rsidRPr="001758B1">
              <w:rPr>
                <w:sz w:val="24"/>
              </w:rPr>
              <w:t>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(bản sao có xác nhận của tổ chức, cá nhân);</w:t>
            </w:r>
          </w:p>
          <w:p w:rsidR="001758B1" w:rsidRPr="001758B1" w:rsidRDefault="001758B1" w:rsidP="007C2404">
            <w:pPr>
              <w:jc w:val="both"/>
              <w:rPr>
                <w:sz w:val="24"/>
              </w:rPr>
            </w:pPr>
            <w:r>
              <w:rPr>
                <w:sz w:val="24"/>
              </w:rPr>
              <w:t xml:space="preserve">- </w:t>
            </w:r>
            <w:r w:rsidRPr="001758B1">
              <w:rPr>
                <w:sz w:val="24"/>
              </w:rPr>
              <w:t xml:space="preserve">Mẫu nhãn sản phẩm (bản có </w:t>
            </w:r>
            <w:r w:rsidRPr="001758B1">
              <w:rPr>
                <w:sz w:val="24"/>
              </w:rPr>
              <w:lastRenderedPageBreak/>
              <w:t>xác nhận của tổ chức, cá nhân);</w:t>
            </w:r>
          </w:p>
          <w:p w:rsidR="001758B1" w:rsidRPr="001758B1" w:rsidRDefault="001758B1" w:rsidP="007C2404">
            <w:pPr>
              <w:jc w:val="both"/>
              <w:rPr>
                <w:sz w:val="24"/>
              </w:rPr>
            </w:pPr>
            <w:r>
              <w:rPr>
                <w:sz w:val="24"/>
              </w:rPr>
              <w:t xml:space="preserve">- </w:t>
            </w:r>
            <w:r w:rsidRPr="001758B1">
              <w:rPr>
                <w:sz w:val="24"/>
              </w:rPr>
              <w:t>Đối với quảng cáo trên báo nói, báo hình thì phải có kịch bản dự kiến quảng cáo và nội dung dự kiến quảng cáo ghi trong đĩa hình, đĩa âm thanh; đối với quảng cáo trên các phương tiện khác thì phải có ma két (mẫu nội dung) dự kiến quảng cáo (bản có xác nhận của tổ chức, cá nh5. Đối với nội dung quảng cáo ngoài công dụng, tính năng của sản phẩm ghi trong bản công bố sản phẩm thì phải có tài liệu khoa học chứng minh (bản sao có xác nhận của tổ chức, cá nhân);</w:t>
            </w:r>
          </w:p>
          <w:p w:rsidR="001758B1" w:rsidRPr="001758B1" w:rsidRDefault="001758B1" w:rsidP="007C2404">
            <w:pPr>
              <w:jc w:val="both"/>
              <w:rPr>
                <w:sz w:val="24"/>
              </w:rPr>
            </w:pPr>
            <w:r>
              <w:rPr>
                <w:sz w:val="24"/>
              </w:rPr>
              <w:t xml:space="preserve">- </w:t>
            </w:r>
            <w:r w:rsidRPr="001758B1">
              <w:rPr>
                <w:sz w:val="24"/>
              </w:rPr>
              <w:t>Các tài liệu trong hồ sơ đăng ký xác nhận nội dung quảng cáo phải được thể hiện bằng tiếng Việt; trường hợp có tài liệu bằng tiếng nước ngoài thì phải được dịch sang tiếng Việt và được công chứng.</w:t>
            </w:r>
          </w:p>
          <w:p w:rsidR="001758B1" w:rsidRPr="001758B1" w:rsidRDefault="001758B1" w:rsidP="007C2404">
            <w:pPr>
              <w:jc w:val="both"/>
              <w:rPr>
                <w:sz w:val="24"/>
              </w:rPr>
            </w:pPr>
            <w:r>
              <w:rPr>
                <w:sz w:val="24"/>
              </w:rPr>
              <w:t xml:space="preserve">- </w:t>
            </w:r>
            <w:r w:rsidRPr="001758B1">
              <w:rPr>
                <w:sz w:val="24"/>
              </w:rPr>
              <w:t>Tài liệu chứng minh cho thông tin quảng cáo có sử dụng hình ảnh, lời nói, chữ viết của cá nhân;</w:t>
            </w:r>
          </w:p>
          <w:p w:rsidR="001758B1" w:rsidRPr="001758B1" w:rsidRDefault="001758B1" w:rsidP="007C2404">
            <w:pPr>
              <w:jc w:val="both"/>
              <w:rPr>
                <w:sz w:val="24"/>
              </w:rPr>
            </w:pPr>
            <w:r>
              <w:rPr>
                <w:i/>
                <w:iCs/>
                <w:sz w:val="24"/>
              </w:rPr>
              <w:t xml:space="preserve">- </w:t>
            </w:r>
            <w:r w:rsidRPr="001758B1">
              <w:rPr>
                <w:i/>
                <w:iCs/>
                <w:sz w:val="24"/>
              </w:rPr>
              <w:t xml:space="preserve">Trường hợp quảng cáo có </w:t>
            </w:r>
            <w:r w:rsidRPr="001758B1">
              <w:rPr>
                <w:i/>
                <w:iCs/>
                <w:sz w:val="24"/>
              </w:rPr>
              <w:lastRenderedPageBreak/>
              <w:t>sử dụng các từ ngữ “nhất”, “duy nhất”, “tốt nhất”, “số một” hoặc từ ngữ có ý nghĩa tương tự thì phải bổ sung tài liệu chứng minh cho thông tin quảng cáo có sử dụng các từ ngữ “nhất”, “duy nhất”, “tốt nhất”, “số một” hoặc từ ngữ có ý nghĩa tương tự quy định tại khoản 1 Điều 2 Thông tư số 10/2013/TT-BVHTTDL.</w:t>
            </w:r>
          </w:p>
          <w:p w:rsidR="001758B1" w:rsidRDefault="001758B1" w:rsidP="007C2404">
            <w:pPr>
              <w:jc w:val="both"/>
              <w:rPr>
                <w:sz w:val="24"/>
                <w:lang w:val="x-none"/>
              </w:rPr>
            </w:pPr>
            <w:r w:rsidRPr="001758B1">
              <w:rPr>
                <w:b/>
                <w:sz w:val="24"/>
              </w:rPr>
              <w:t xml:space="preserve">2. </w:t>
            </w:r>
            <w:r w:rsidRPr="001758B1">
              <w:rPr>
                <w:b/>
                <w:sz w:val="24"/>
                <w:lang w:val="x-none"/>
              </w:rPr>
              <w:t>Mẫu đơn, mẫu tờ khai:</w:t>
            </w:r>
            <w:r w:rsidRPr="001758B1">
              <w:rPr>
                <w:sz w:val="24"/>
                <w:lang w:val="x-none"/>
              </w:rPr>
              <w:t xml:space="preserve"> </w:t>
            </w:r>
          </w:p>
          <w:p w:rsidR="007C2404" w:rsidRPr="001758B1" w:rsidRDefault="007C2404" w:rsidP="007C2404">
            <w:pPr>
              <w:jc w:val="both"/>
              <w:rPr>
                <w:sz w:val="24"/>
                <w:lang w:val="x-none"/>
              </w:rPr>
            </w:pPr>
            <w:r w:rsidRPr="007C2404">
              <w:rPr>
                <w:sz w:val="24"/>
              </w:rPr>
              <w:t>Mẫu số 10 Phụ lục I: Đơn đăng ký xác nhận nội dung quảng cáo</w:t>
            </w:r>
          </w:p>
          <w:p w:rsidR="001758B1" w:rsidRPr="001758B1" w:rsidRDefault="001758B1" w:rsidP="007C2404">
            <w:pPr>
              <w:shd w:val="clear" w:color="auto" w:fill="FFFFFF"/>
              <w:jc w:val="both"/>
              <w:rPr>
                <w:sz w:val="24"/>
              </w:rPr>
            </w:pPr>
            <w:r w:rsidRPr="001758B1">
              <w:rPr>
                <w:b/>
                <w:bCs/>
                <w:sz w:val="24"/>
              </w:rPr>
              <w:t>3. Số lượng hồ sơ:</w:t>
            </w:r>
            <w:r w:rsidRPr="001758B1">
              <w:rPr>
                <w:sz w:val="24"/>
              </w:rPr>
              <w:t> 01 bộ.</w:t>
            </w:r>
          </w:p>
          <w:p w:rsidR="001758B1" w:rsidRPr="001758B1" w:rsidRDefault="001758B1" w:rsidP="007C2404">
            <w:pPr>
              <w:jc w:val="both"/>
              <w:rPr>
                <w:sz w:val="24"/>
                <w:lang w:val="nl-NL"/>
              </w:rPr>
            </w:pPr>
            <w:r w:rsidRPr="001758B1">
              <w:rPr>
                <w:b/>
                <w:bCs/>
                <w:sz w:val="24"/>
                <w:lang w:val="nl-NL"/>
              </w:rPr>
              <w:t xml:space="preserve">4. Yêu cầu, điều kiện thực hiện thủ tục hành chính </w:t>
            </w:r>
            <w:r w:rsidRPr="001758B1">
              <w:rPr>
                <w:b/>
                <w:sz w:val="24"/>
                <w:lang w:val="nl-NL"/>
              </w:rPr>
              <w:t>:</w:t>
            </w:r>
            <w:r w:rsidRPr="001758B1">
              <w:rPr>
                <w:sz w:val="24"/>
                <w:lang w:val="nl-NL"/>
              </w:rPr>
              <w:t xml:space="preserve"> </w:t>
            </w:r>
          </w:p>
          <w:p w:rsidR="007C2404" w:rsidRPr="007C2404" w:rsidRDefault="007C2404" w:rsidP="007C2404">
            <w:pPr>
              <w:jc w:val="both"/>
              <w:rPr>
                <w:sz w:val="24"/>
              </w:rPr>
            </w:pPr>
            <w:r w:rsidRPr="007C2404">
              <w:rPr>
                <w:i/>
                <w:iCs/>
                <w:sz w:val="24"/>
              </w:rPr>
              <w:t>1/ Theo các quy định của pháp luật về quảng cáo:</w:t>
            </w:r>
          </w:p>
          <w:p w:rsidR="007C2404" w:rsidRPr="007C2404" w:rsidRDefault="007C2404" w:rsidP="007C2404">
            <w:pPr>
              <w:jc w:val="both"/>
              <w:rPr>
                <w:sz w:val="24"/>
              </w:rPr>
            </w:pPr>
            <w:r w:rsidRPr="007C2404">
              <w:rPr>
                <w:i/>
                <w:iCs/>
                <w:sz w:val="24"/>
              </w:rPr>
              <w:t>- Có giấy tiếp nhận đăng ký bản công bố sản phẩm của cơ quan nhà nước có thẩm quyền cấp.</w:t>
            </w:r>
          </w:p>
          <w:p w:rsidR="007C2404" w:rsidRPr="007C2404" w:rsidRDefault="007C2404" w:rsidP="007C2404">
            <w:pPr>
              <w:jc w:val="both"/>
              <w:rPr>
                <w:sz w:val="24"/>
              </w:rPr>
            </w:pPr>
            <w:r w:rsidRPr="007C2404">
              <w:rPr>
                <w:i/>
                <w:iCs/>
                <w:sz w:val="24"/>
              </w:rPr>
              <w:t>- Quảng cáo có sử dụng hình ảnh, lời nói, chữ viết của cá nhân phải có tài liệu chứng minh được cá nhân đó đồng ý hoặc được pháp luật cho phép;</w:t>
            </w:r>
          </w:p>
          <w:p w:rsidR="007C2404" w:rsidRPr="007C2404" w:rsidRDefault="007C2404" w:rsidP="007C2404">
            <w:pPr>
              <w:jc w:val="both"/>
              <w:rPr>
                <w:sz w:val="24"/>
              </w:rPr>
            </w:pPr>
            <w:r w:rsidRPr="007C2404">
              <w:rPr>
                <w:i/>
                <w:iCs/>
                <w:sz w:val="24"/>
              </w:rPr>
              <w:t xml:space="preserve">- Quảng cáo có sử dụng các từ ngữ “nhất”, “duy nhất”, </w:t>
            </w:r>
            <w:r w:rsidRPr="007C2404">
              <w:rPr>
                <w:i/>
                <w:iCs/>
                <w:sz w:val="24"/>
              </w:rPr>
              <w:lastRenderedPageBreak/>
              <w:t>“tốt nhất”, “số một” hoặc từ ngữ có ý nghĩa tương tự phải có tài liệu hợp pháp chứng minh theo quy định tại Điều 2 của Thông tư số 10/2013/TT-BVHTTDL ngày 06/12/2013, quy định chi tiết và hướng dẫn thực hiện một số điều của Luật quảng cáo và Nghị định số 181/2013/NĐ-CP ngày 14/11/2013 của Chính phủ quy định chi tiết thi hành một số điều của Luật Quảng cáo.</w:t>
            </w:r>
          </w:p>
          <w:p w:rsidR="007C2404" w:rsidRPr="007C2404" w:rsidRDefault="007C2404" w:rsidP="007C2404">
            <w:pPr>
              <w:jc w:val="both"/>
              <w:rPr>
                <w:sz w:val="24"/>
              </w:rPr>
            </w:pPr>
            <w:r w:rsidRPr="007C2404">
              <w:rPr>
                <w:i/>
                <w:iCs/>
                <w:sz w:val="24"/>
              </w:rPr>
              <w:t>- Quảng cáo có sử dụng logo, thương hiệu, nhãn hiệu, các thông tin về bảo hộ độc quyền sáng chế phải có tài liệu, văn bằng bảo hộ, chứng nhận ... chứng minh cho thông tin quảng cáo theo pháp luật sở hữu trí tuệ.</w:t>
            </w:r>
          </w:p>
          <w:p w:rsidR="007C2404" w:rsidRPr="007C2404" w:rsidRDefault="007C2404" w:rsidP="007C2404">
            <w:pPr>
              <w:jc w:val="both"/>
              <w:rPr>
                <w:sz w:val="24"/>
              </w:rPr>
            </w:pPr>
            <w:r w:rsidRPr="007C2404">
              <w:rPr>
                <w:i/>
                <w:iCs/>
                <w:sz w:val="24"/>
              </w:rPr>
              <w:t>Nội dung bắt buộc phải có trong quảng cáo (Nghị định số 181/2013/NĐ-CP):</w:t>
            </w:r>
          </w:p>
          <w:p w:rsidR="007C2404" w:rsidRPr="007C2404" w:rsidRDefault="007C2404" w:rsidP="007C2404">
            <w:pPr>
              <w:jc w:val="both"/>
              <w:rPr>
                <w:sz w:val="24"/>
              </w:rPr>
            </w:pPr>
            <w:r w:rsidRPr="007C2404">
              <w:rPr>
                <w:i/>
                <w:iCs/>
                <w:sz w:val="24"/>
              </w:rPr>
              <w:t>- Tên thực phẩm;</w:t>
            </w:r>
          </w:p>
          <w:p w:rsidR="007C2404" w:rsidRPr="007C2404" w:rsidRDefault="007C2404" w:rsidP="007C2404">
            <w:pPr>
              <w:jc w:val="both"/>
              <w:rPr>
                <w:sz w:val="24"/>
              </w:rPr>
            </w:pPr>
            <w:r w:rsidRPr="007C2404">
              <w:rPr>
                <w:i/>
                <w:iCs/>
                <w:sz w:val="24"/>
              </w:rPr>
              <w:t>- Tác dụng chính và các tác dụng phụ (nếu có)</w:t>
            </w:r>
          </w:p>
          <w:p w:rsidR="007C2404" w:rsidRPr="007C2404" w:rsidRDefault="007C2404" w:rsidP="007C2404">
            <w:pPr>
              <w:jc w:val="both"/>
              <w:rPr>
                <w:sz w:val="24"/>
              </w:rPr>
            </w:pPr>
            <w:r w:rsidRPr="007C2404">
              <w:rPr>
                <w:i/>
                <w:iCs/>
                <w:sz w:val="24"/>
              </w:rPr>
              <w:t>- Tên và địa chỉ của tổ chức/ cá nhân chịu trách nhiệm về thực phẩm;</w:t>
            </w:r>
          </w:p>
          <w:p w:rsidR="007C2404" w:rsidRPr="007C2404" w:rsidRDefault="007C2404" w:rsidP="007C2404">
            <w:pPr>
              <w:jc w:val="both"/>
              <w:rPr>
                <w:sz w:val="24"/>
              </w:rPr>
            </w:pPr>
            <w:r w:rsidRPr="007C2404">
              <w:rPr>
                <w:i/>
                <w:iCs/>
                <w:sz w:val="24"/>
              </w:rPr>
              <w:t>Nội dung không được phép có trong quảng cáo:</w:t>
            </w:r>
          </w:p>
          <w:p w:rsidR="007C2404" w:rsidRPr="007C2404" w:rsidRDefault="007C2404" w:rsidP="007C2404">
            <w:pPr>
              <w:jc w:val="both"/>
              <w:rPr>
                <w:sz w:val="24"/>
              </w:rPr>
            </w:pPr>
            <w:r w:rsidRPr="007C2404">
              <w:rPr>
                <w:i/>
                <w:iCs/>
                <w:sz w:val="24"/>
              </w:rPr>
              <w:lastRenderedPageBreak/>
              <w:t>- Không vi phạm các hành vi cấm trong quảng cáo quy định tại Điều 8 Luật Quảng cáo 16/2012/QH13;</w:t>
            </w:r>
          </w:p>
          <w:p w:rsidR="007C2404" w:rsidRPr="007C2404" w:rsidRDefault="007C2404" w:rsidP="007C2404">
            <w:pPr>
              <w:jc w:val="both"/>
              <w:rPr>
                <w:sz w:val="24"/>
              </w:rPr>
            </w:pPr>
            <w:r w:rsidRPr="007C2404">
              <w:rPr>
                <w:i/>
                <w:iCs/>
                <w:sz w:val="24"/>
              </w:rPr>
              <w:t>- Không quảng cáo thực phẩm chức năng gây hiểu nhầm sản phẩm đó là thuốc;</w:t>
            </w:r>
          </w:p>
          <w:p w:rsidR="007C2404" w:rsidRPr="007C2404" w:rsidRDefault="007C2404" w:rsidP="007C2404">
            <w:pPr>
              <w:jc w:val="both"/>
              <w:rPr>
                <w:sz w:val="24"/>
              </w:rPr>
            </w:pPr>
            <w:r w:rsidRPr="007C2404">
              <w:rPr>
                <w:i/>
                <w:iCs/>
                <w:sz w:val="24"/>
              </w:rPr>
              <w:t>2/ Theo quy định tại Điều 27 Nghị định số 15/2018/NĐ-CP ngày 2/2/2018 của Chính phủ quy định chi tiết thi hành một số điều của Luật an toàn thực phẩm</w:t>
            </w:r>
          </w:p>
          <w:p w:rsidR="007C2404" w:rsidRPr="007C2404" w:rsidRDefault="007C2404" w:rsidP="007C2404">
            <w:pPr>
              <w:jc w:val="both"/>
              <w:rPr>
                <w:sz w:val="24"/>
              </w:rPr>
            </w:pPr>
            <w:r w:rsidRPr="007C2404">
              <w:rPr>
                <w:i/>
                <w:iCs/>
                <w:sz w:val="24"/>
              </w:rPr>
              <w:t>- Không thuộc sản phẩm cấm quảng cáo quy định tại Điều 7 Luật Quảng cáo</w:t>
            </w:r>
          </w:p>
          <w:p w:rsidR="007C2404" w:rsidRDefault="007C2404" w:rsidP="007C2404">
            <w:pPr>
              <w:jc w:val="both"/>
              <w:rPr>
                <w:i/>
                <w:iCs/>
                <w:sz w:val="24"/>
              </w:rPr>
            </w:pPr>
            <w:r w:rsidRPr="007C2404">
              <w:rPr>
                <w:i/>
                <w:iCs/>
                <w:sz w:val="24"/>
              </w:rPr>
              <w:t>- Tổ chức, cá nhân có sản phẩm quảng cáo phải đăng ký nội dung quảng cáo với cơ quan cấp Giấy tiếp nhận bản đăng ký công bố sản phẩm theo quy định hiện hành.</w:t>
            </w:r>
          </w:p>
          <w:p w:rsidR="007C2404" w:rsidRPr="007C2404" w:rsidRDefault="007C2404" w:rsidP="007C2404">
            <w:pPr>
              <w:jc w:val="both"/>
              <w:rPr>
                <w:sz w:val="24"/>
              </w:rPr>
            </w:pPr>
            <w:r w:rsidRPr="007C2404">
              <w:rPr>
                <w:i/>
                <w:iCs/>
                <w:sz w:val="24"/>
              </w:rPr>
              <w:t>- Sản phẩm đăng ký nội dung quảng cáo phải có Giấy tiếp nhận bản đăng ký công bố sản phẩm, Bản công bố sản phẩm, Nhãn sản phẩm đã được cơ quan có thẩm quyền xác nhận.</w:t>
            </w:r>
          </w:p>
          <w:p w:rsidR="007C2404" w:rsidRPr="007C2404" w:rsidRDefault="007C2404" w:rsidP="007C2404">
            <w:pPr>
              <w:jc w:val="both"/>
              <w:rPr>
                <w:sz w:val="24"/>
              </w:rPr>
            </w:pPr>
            <w:r w:rsidRPr="007C2404">
              <w:rPr>
                <w:i/>
                <w:iCs/>
                <w:sz w:val="24"/>
              </w:rPr>
              <w:t xml:space="preserve">- Nội dung quảng cáo phải phù hợp với công dụng, tác dụng của sản phẩm đã được </w:t>
            </w:r>
            <w:r w:rsidRPr="007C2404">
              <w:rPr>
                <w:i/>
                <w:iCs/>
                <w:sz w:val="24"/>
              </w:rPr>
              <w:lastRenderedPageBreak/>
              <w:t>công bố trong bản công bố sản phẩm.</w:t>
            </w:r>
          </w:p>
          <w:p w:rsidR="007C2404" w:rsidRPr="007C2404" w:rsidRDefault="007C2404" w:rsidP="007C2404">
            <w:pPr>
              <w:jc w:val="both"/>
              <w:rPr>
                <w:sz w:val="24"/>
              </w:rPr>
            </w:pPr>
            <w:r w:rsidRPr="007C2404">
              <w:rPr>
                <w:i/>
                <w:iCs/>
                <w:sz w:val="24"/>
              </w:rPr>
              <w:t>Không sử dụng hình ảnh, thiết bị, trang phục, tên, thư tín của các đơn vị, cơ sở y tế, bác sỹ, dược sỹ, nhân viên y tế, thư cảm ơn của người bệnh, bài viết của bác sỹ, dược sỹ, nhân viên y tế để quảng cáo thực phẩm.</w:t>
            </w:r>
          </w:p>
          <w:p w:rsidR="007C2404" w:rsidRPr="007C2404" w:rsidRDefault="007C2404" w:rsidP="007C2404">
            <w:pPr>
              <w:jc w:val="both"/>
              <w:rPr>
                <w:sz w:val="24"/>
              </w:rPr>
            </w:pPr>
            <w:r w:rsidRPr="007C2404">
              <w:rPr>
                <w:i/>
                <w:iCs/>
                <w:sz w:val="24"/>
              </w:rPr>
              <w:t>- Đối với quảng cáo trên báo nói, báo hình thì phải có kịch bản dự kiến quảng cáo và nội dung dự kiến quảng cáo ghi trong đĩa hình, đĩa âm thanh;</w:t>
            </w:r>
          </w:p>
          <w:p w:rsidR="007C2404" w:rsidRPr="007C2404" w:rsidRDefault="007C2404" w:rsidP="007C2404">
            <w:pPr>
              <w:jc w:val="both"/>
              <w:rPr>
                <w:sz w:val="24"/>
              </w:rPr>
            </w:pPr>
            <w:r w:rsidRPr="007C2404">
              <w:rPr>
                <w:i/>
                <w:iCs/>
                <w:sz w:val="24"/>
              </w:rPr>
              <w:t>- Đối với quảng cáo trên các phương tiện khác thì phải có ma két (mẫu nội dung) dự kiến quảng cáo (bản có xác nhận của tổ chức, cá nhân);</w:t>
            </w:r>
          </w:p>
          <w:p w:rsidR="007C2404" w:rsidRPr="007C2404" w:rsidRDefault="007C2404" w:rsidP="007C2404">
            <w:pPr>
              <w:jc w:val="both"/>
              <w:rPr>
                <w:sz w:val="24"/>
              </w:rPr>
            </w:pPr>
            <w:r w:rsidRPr="007C2404">
              <w:rPr>
                <w:i/>
                <w:iCs/>
                <w:sz w:val="24"/>
              </w:rPr>
              <w:t>- Đối với nội dung quảng cáo ngoài công dụng, tính năng của sản phẩm ghi trong bản công bố sản phẩm thì phải có tài liệu khoa học chứng minh (bản sao có xác nhận của tổ chức, cá nhân);</w:t>
            </w:r>
          </w:p>
          <w:p w:rsidR="007C2404" w:rsidRPr="007C2404" w:rsidRDefault="007C2404" w:rsidP="007C2404">
            <w:pPr>
              <w:jc w:val="both"/>
              <w:rPr>
                <w:sz w:val="24"/>
              </w:rPr>
            </w:pPr>
            <w:r w:rsidRPr="007C2404">
              <w:rPr>
                <w:i/>
                <w:iCs/>
                <w:sz w:val="24"/>
              </w:rPr>
              <w:t xml:space="preserve">- Các tài liệu trong hồ sơ đăng ký xác nhận nội dung quảng cáo phải được thể hiện bằng tiếng Việt; trường hợp có tài liệu bằng tiếng nước </w:t>
            </w:r>
            <w:r w:rsidRPr="007C2404">
              <w:rPr>
                <w:i/>
                <w:iCs/>
                <w:sz w:val="24"/>
              </w:rPr>
              <w:lastRenderedPageBreak/>
              <w:t>ngoài thì phải được dịch sang tiếng Việt và được công chứng.</w:t>
            </w:r>
          </w:p>
          <w:p w:rsidR="007C2404" w:rsidRPr="007C2404" w:rsidRDefault="007C2404" w:rsidP="007C2404">
            <w:pPr>
              <w:jc w:val="both"/>
              <w:rPr>
                <w:sz w:val="24"/>
              </w:rPr>
            </w:pPr>
            <w:r w:rsidRPr="007C2404">
              <w:rPr>
                <w:i/>
                <w:iCs/>
                <w:sz w:val="24"/>
              </w:rPr>
              <w:t>3/ Theo quy định tại Nghị định số 100/2014/NĐ-CP của Chính phủ: Quy định về kinh doanh và sử dụng sản phẩm dinh dưỡng dùng cho trẻ nhỏ, bình bú và vú ngậm nhân tạo:</w:t>
            </w:r>
          </w:p>
          <w:p w:rsidR="007C2404" w:rsidRPr="007C2404" w:rsidRDefault="007C2404" w:rsidP="007C2404">
            <w:pPr>
              <w:jc w:val="both"/>
              <w:rPr>
                <w:sz w:val="24"/>
              </w:rPr>
            </w:pPr>
            <w:r w:rsidRPr="007C2404">
              <w:rPr>
                <w:i/>
                <w:iCs/>
                <w:sz w:val="24"/>
              </w:rPr>
              <w:t>- cấm quảng cáo sản phẩm sữa thay thế sữa mẹ dùng cho trẻ dưới 24 tháng tuổi; thức ăn bổ sung dùng cho trẻ dưới 06 tháng tuổi;</w:t>
            </w:r>
          </w:p>
          <w:p w:rsidR="007C2404" w:rsidRPr="007C2404" w:rsidRDefault="007C2404" w:rsidP="007C2404">
            <w:pPr>
              <w:jc w:val="both"/>
              <w:rPr>
                <w:sz w:val="24"/>
              </w:rPr>
            </w:pPr>
            <w:r w:rsidRPr="007C2404">
              <w:rPr>
                <w:i/>
                <w:iCs/>
                <w:sz w:val="24"/>
              </w:rPr>
              <w:t>- cấm quảng cáo bình bú và vú ngậm nhân tạo dưới mọi hình thức; sử dụng hình ảnh bào thai hoặc trẻ nhỏ trong quảng cáo sữa dùng cho phụ nữ mang thai.</w:t>
            </w:r>
          </w:p>
          <w:p w:rsidR="007C2404" w:rsidRPr="007C2404" w:rsidRDefault="007C2404" w:rsidP="007C2404">
            <w:pPr>
              <w:jc w:val="both"/>
              <w:rPr>
                <w:sz w:val="24"/>
              </w:rPr>
            </w:pPr>
            <w:r w:rsidRPr="007C2404">
              <w:rPr>
                <w:i/>
                <w:iCs/>
                <w:sz w:val="24"/>
              </w:rPr>
              <w:t>- Cấm có nội dung sau đây:</w:t>
            </w:r>
          </w:p>
          <w:p w:rsidR="007C2404" w:rsidRPr="007C2404" w:rsidRDefault="007C2404" w:rsidP="007C2404">
            <w:pPr>
              <w:jc w:val="both"/>
              <w:rPr>
                <w:sz w:val="24"/>
              </w:rPr>
            </w:pPr>
            <w:r w:rsidRPr="007C2404">
              <w:rPr>
                <w:i/>
                <w:iCs/>
                <w:sz w:val="24"/>
              </w:rPr>
              <w:t>+ Tranh ảnh, lời văn hoặc các hình thức khác nhằm khuyến khích việc cho trẻ ăn sản phẩm sữa thay thế sữa mẹ, cho trẻ bú bằng bình hoặc không khuyến khích việc nuôi trẻ bằng sữa mẹ;</w:t>
            </w:r>
          </w:p>
          <w:p w:rsidR="007C2404" w:rsidRPr="007C2404" w:rsidRDefault="007C2404" w:rsidP="007C2404">
            <w:pPr>
              <w:jc w:val="both"/>
              <w:rPr>
                <w:sz w:val="24"/>
              </w:rPr>
            </w:pPr>
            <w:r w:rsidRPr="007C2404">
              <w:rPr>
                <w:i/>
                <w:iCs/>
                <w:sz w:val="24"/>
              </w:rPr>
              <w:t>+ So sánh sản phẩm sữa thay thế sữa mẹ là tương đương hoặc tốt hơn sữa mẹ;</w:t>
            </w:r>
          </w:p>
          <w:p w:rsidR="007C2404" w:rsidRPr="007C2404" w:rsidRDefault="007C2404" w:rsidP="007C2404">
            <w:pPr>
              <w:jc w:val="both"/>
              <w:rPr>
                <w:sz w:val="24"/>
              </w:rPr>
            </w:pPr>
            <w:r w:rsidRPr="007C2404">
              <w:rPr>
                <w:i/>
                <w:iCs/>
                <w:sz w:val="24"/>
              </w:rPr>
              <w:t xml:space="preserve">+ Tên hoặc biểu tượng của </w:t>
            </w:r>
            <w:r w:rsidRPr="007C2404">
              <w:rPr>
                <w:i/>
                <w:iCs/>
                <w:sz w:val="24"/>
              </w:rPr>
              <w:lastRenderedPageBreak/>
              <w:t>sản phẩm sữa thay thế sữa mẹ.</w:t>
            </w:r>
          </w:p>
          <w:p w:rsidR="007C2404" w:rsidRPr="007C2404" w:rsidRDefault="007C2404" w:rsidP="007C2404">
            <w:pPr>
              <w:jc w:val="both"/>
              <w:rPr>
                <w:sz w:val="24"/>
              </w:rPr>
            </w:pPr>
            <w:r w:rsidRPr="007C2404">
              <w:rPr>
                <w:i/>
                <w:iCs/>
                <w:sz w:val="24"/>
              </w:rPr>
              <w:t>- Quảng cáo thức ăn bổ sung dùng cho trẻ dưới 24 tháng tuổi phải bảo đảm yêu cầu sau đây:</w:t>
            </w:r>
          </w:p>
          <w:p w:rsidR="007C2404" w:rsidRPr="007C2404" w:rsidRDefault="007C2404" w:rsidP="007C2404">
            <w:pPr>
              <w:jc w:val="both"/>
              <w:rPr>
                <w:sz w:val="24"/>
              </w:rPr>
            </w:pPr>
            <w:r w:rsidRPr="007C2404">
              <w:rPr>
                <w:i/>
                <w:iCs/>
                <w:sz w:val="24"/>
              </w:rPr>
              <w:t>+ Phần đầu của quảng cáo phải có nội dung: "Sữa mẹ là thức ăn tốt nhất cho sức khỏe và sự phát triển toàn diện của trẻ nhỏ";</w:t>
            </w:r>
          </w:p>
          <w:p w:rsidR="007C2404" w:rsidRPr="007C2404" w:rsidRDefault="007C2404" w:rsidP="007C2404">
            <w:pPr>
              <w:jc w:val="both"/>
              <w:rPr>
                <w:sz w:val="24"/>
              </w:rPr>
            </w:pPr>
            <w:r w:rsidRPr="007C2404">
              <w:rPr>
                <w:i/>
                <w:iCs/>
                <w:sz w:val="24"/>
              </w:rPr>
              <w:t>+ Nội dung quảng cáo phải nêu rõ “Sản phẩm này là thức ăn bổ sung và được ăn thêm cùng với sữa mẹ dùng cho trẻ trên 06 tháng tuổi”; phù hợp với quy định tại Điều 4, Điều 5 Nghị định 100/2014/NĐ-CP và quy định khác của pháp luật về quảng cáo và an toàn thực phẩm.</w:t>
            </w:r>
          </w:p>
          <w:p w:rsidR="001758B1" w:rsidRPr="001758B1" w:rsidRDefault="001758B1" w:rsidP="007C2404">
            <w:pPr>
              <w:jc w:val="both"/>
              <w:rPr>
                <w:rFonts w:eastAsia="Calibri"/>
                <w:sz w:val="24"/>
              </w:rPr>
            </w:pPr>
          </w:p>
        </w:tc>
        <w:tc>
          <w:tcPr>
            <w:tcW w:w="5460" w:type="dxa"/>
            <w:shd w:val="clear" w:color="auto" w:fill="auto"/>
          </w:tcPr>
          <w:p w:rsidR="001758B1" w:rsidRPr="001758B1" w:rsidRDefault="001758B1" w:rsidP="001758B1">
            <w:pPr>
              <w:spacing w:before="120" w:after="120"/>
              <w:jc w:val="both"/>
              <w:rPr>
                <w:rFonts w:eastAsia="Calibri"/>
                <w:b/>
                <w:sz w:val="24"/>
                <w:shd w:val="clear" w:color="auto" w:fill="FFFFFF"/>
                <w:lang w:val="nl-NL"/>
              </w:rPr>
            </w:pPr>
            <w:r w:rsidRPr="001758B1">
              <w:rPr>
                <w:rFonts w:eastAsia="Calibri"/>
                <w:b/>
                <w:sz w:val="24"/>
                <w:shd w:val="clear" w:color="auto" w:fill="FFFFFF"/>
                <w:lang w:val="nl-NL"/>
              </w:rPr>
              <w:lastRenderedPageBreak/>
              <w:t>1. Trình tự thực hiện:</w:t>
            </w:r>
          </w:p>
          <w:p w:rsidR="001758B1" w:rsidRPr="001758B1" w:rsidRDefault="001758B1" w:rsidP="001758B1">
            <w:pPr>
              <w:spacing w:before="120" w:after="120"/>
              <w:jc w:val="both"/>
              <w:rPr>
                <w:rFonts w:eastAsia="Calibri"/>
                <w:sz w:val="24"/>
                <w:shd w:val="clear" w:color="auto" w:fill="FFFFFF"/>
                <w:lang w:val="nl-NL"/>
              </w:rPr>
            </w:pPr>
            <w:r w:rsidRPr="001758B1">
              <w:rPr>
                <w:rFonts w:eastAsia="Calibri"/>
                <w:b/>
                <w:sz w:val="24"/>
                <w:shd w:val="clear" w:color="auto" w:fill="FFFFFF"/>
                <w:lang w:val="nl-NL"/>
              </w:rPr>
              <w:t>Bước 1:</w:t>
            </w:r>
            <w:r w:rsidRPr="001758B1">
              <w:rPr>
                <w:rFonts w:eastAsia="Calibri"/>
                <w:sz w:val="24"/>
                <w:shd w:val="clear" w:color="auto" w:fill="FFFFFF"/>
                <w:lang w:val="nl-NL"/>
              </w:rPr>
              <w:t xml:space="preserve"> </w:t>
            </w:r>
          </w:p>
          <w:p w:rsidR="001758B1" w:rsidRPr="001758B1" w:rsidRDefault="001758B1" w:rsidP="001758B1">
            <w:pPr>
              <w:spacing w:before="120" w:after="120"/>
              <w:jc w:val="both"/>
              <w:rPr>
                <w:rFonts w:eastAsia="Calibri"/>
                <w:sz w:val="24"/>
                <w:lang w:val="nl-NL"/>
              </w:rPr>
            </w:pPr>
            <w:r w:rsidRPr="001758B1">
              <w:rPr>
                <w:sz w:val="24"/>
              </w:rPr>
              <w:t>Tổ</w:t>
            </w:r>
            <w:r w:rsidRPr="001758B1">
              <w:rPr>
                <w:sz w:val="24"/>
                <w:lang w:val="hr-HR"/>
              </w:rPr>
              <w:t xml:space="preserve"> </w:t>
            </w:r>
            <w:r w:rsidRPr="001758B1">
              <w:rPr>
                <w:sz w:val="24"/>
              </w:rPr>
              <w:t>chức</w:t>
            </w:r>
            <w:r w:rsidR="007C2404">
              <w:rPr>
                <w:sz w:val="24"/>
                <w:lang w:val="hr-HR"/>
              </w:rPr>
              <w:t xml:space="preserve">, cá nhân có sản phẩm quảng cáo </w:t>
            </w:r>
            <w:r w:rsidRPr="001758B1">
              <w:rPr>
                <w:sz w:val="24"/>
              </w:rPr>
              <w:t xml:space="preserve">lập hồ sơ gửi </w:t>
            </w:r>
            <w:r w:rsidRPr="001758B1">
              <w:rPr>
                <w:rFonts w:eastAsia="Calibri"/>
                <w:sz w:val="24"/>
                <w:lang w:val="nl-NL"/>
              </w:rPr>
              <w:t>Trung tâm Phục vụ hành chính công tỉnh Đắk Nông. Địa chỉ: Số 98, đường 23/3, phường Nghĩa Đức, thành phố Gia Nghĩa, tỉnh Đắk Nông. Điện thoại: 02613 838 838.</w:t>
            </w:r>
          </w:p>
          <w:p w:rsidR="001758B1" w:rsidRPr="001758B1" w:rsidRDefault="001758B1" w:rsidP="001758B1">
            <w:pPr>
              <w:spacing w:before="120" w:after="120"/>
              <w:jc w:val="both"/>
              <w:rPr>
                <w:rFonts w:eastAsia="Calibri"/>
                <w:sz w:val="24"/>
                <w:shd w:val="clear" w:color="auto" w:fill="FFFFFF"/>
                <w:lang w:val="nl-NL"/>
              </w:rPr>
            </w:pPr>
            <w:r w:rsidRPr="001758B1">
              <w:rPr>
                <w:rFonts w:eastAsia="Calibri"/>
                <w:sz w:val="24"/>
                <w:lang w:val="nl-NL"/>
              </w:rPr>
              <w:t xml:space="preserve"> </w:t>
            </w:r>
            <w:r w:rsidRPr="001758B1">
              <w:rPr>
                <w:b/>
                <w:bCs/>
                <w:sz w:val="24"/>
                <w:lang w:val="nl-NL"/>
              </w:rPr>
              <w:t xml:space="preserve">Cách thức thực hiện: </w:t>
            </w:r>
            <w:r w:rsidRPr="001758B1">
              <w:rPr>
                <w:sz w:val="24"/>
                <w:lang w:val="nl-NL"/>
              </w:rPr>
              <w:t>Hồ sơ được gửi trực tiếp, qua hệ thống bưu chính hoặc trực tuyến.</w:t>
            </w:r>
          </w:p>
          <w:p w:rsidR="001758B1" w:rsidRPr="001758B1" w:rsidRDefault="001758B1" w:rsidP="001758B1">
            <w:pPr>
              <w:spacing w:before="120" w:after="120"/>
              <w:jc w:val="both"/>
              <w:rPr>
                <w:rFonts w:eastAsia="Calibri"/>
                <w:b/>
                <w:bCs/>
                <w:sz w:val="24"/>
                <w:shd w:val="clear" w:color="auto" w:fill="FFFFFF"/>
                <w:lang w:val="nl-NL"/>
              </w:rPr>
            </w:pPr>
            <w:r w:rsidRPr="001758B1">
              <w:rPr>
                <w:rFonts w:eastAsia="Calibri"/>
                <w:sz w:val="24"/>
                <w:shd w:val="clear" w:color="auto" w:fill="FFFFFF"/>
                <w:lang w:val="nl-NL"/>
              </w:rPr>
              <w:t xml:space="preserve"> </w:t>
            </w:r>
            <w:r w:rsidRPr="001758B1">
              <w:rPr>
                <w:rFonts w:eastAsia="Calibri"/>
                <w:b/>
                <w:bCs/>
                <w:sz w:val="24"/>
                <w:shd w:val="clear" w:color="auto" w:fill="FFFFFF"/>
                <w:lang w:val="nl-NL"/>
              </w:rPr>
              <w:t xml:space="preserve">Bước 2: </w:t>
            </w:r>
          </w:p>
          <w:p w:rsidR="001758B1" w:rsidRPr="001758B1" w:rsidRDefault="001758B1" w:rsidP="001758B1">
            <w:pPr>
              <w:spacing w:before="120" w:after="120"/>
              <w:jc w:val="both"/>
              <w:rPr>
                <w:sz w:val="24"/>
              </w:rPr>
            </w:pPr>
            <w:r w:rsidRPr="001758B1">
              <w:rPr>
                <w:sz w:val="24"/>
                <w:shd w:val="clear" w:color="auto" w:fill="FFFFFF"/>
              </w:rPr>
              <w:t xml:space="preserve">- </w:t>
            </w:r>
            <w:r w:rsidRPr="001758B1">
              <w:rPr>
                <w:sz w:val="24"/>
              </w:rPr>
              <w:t>Người tiếp nhận hồ sơ có trách nhiệm kiểm tra thành phần hồ sơ, tính hợp lệ của giấy tờ do người yêu cầu xuất trình hoặc nộp.</w:t>
            </w:r>
          </w:p>
          <w:p w:rsidR="001758B1" w:rsidRPr="001758B1" w:rsidRDefault="001758B1" w:rsidP="001758B1">
            <w:pPr>
              <w:spacing w:before="120" w:after="120"/>
              <w:jc w:val="both"/>
              <w:rPr>
                <w:sz w:val="24"/>
              </w:rPr>
            </w:pPr>
            <w:r w:rsidRPr="001758B1">
              <w:rPr>
                <w:sz w:val="24"/>
              </w:rPr>
              <w:t xml:space="preserve">- Nếu hồ sơ đầy đủ, hợp lệ, người tiếp nhận hồ sơ viết giấy tiếp nhận, trong đó ghi rõ ngày, giờ trả kết quả; nếu hồ sơ chưa đầy đủ, hoàn thiện thì hướng dẫn người nộp hồ sơ bổ sung, hoàn thiện theo quy định; trường hợp không thể bổ sung, hoàn thiện hồ sơ ngay thì phải </w:t>
            </w:r>
            <w:r w:rsidRPr="001758B1">
              <w:rPr>
                <w:sz w:val="24"/>
              </w:rPr>
              <w:lastRenderedPageBreak/>
              <w:t>lập thành văn bản hướng dẫn, trong đó nêu rõ loại giấy tờ, nội dung cần bổ sung, hoàn thiện, ký, ghi rõ họ, chữ đệm, tên của người tiếp nhận hồ sơ.</w:t>
            </w:r>
          </w:p>
          <w:p w:rsidR="001758B1" w:rsidRPr="001758B1" w:rsidRDefault="001758B1" w:rsidP="001758B1">
            <w:pPr>
              <w:spacing w:before="120" w:after="120"/>
              <w:jc w:val="both"/>
              <w:rPr>
                <w:sz w:val="24"/>
              </w:rPr>
            </w:pPr>
            <w:r w:rsidRPr="001758B1">
              <w:rPr>
                <w:sz w:val="24"/>
              </w:rPr>
              <w:t>- Hồ sơ sau khi đã được hướng dẫn theo quy định mà không được bổ sung đầy đủ, hoàn thiện thì người tiếp nhận hồ sơ từ chối tiếp nhận hồ sơ. Việc từ chối tiếp nhận hồ sơ phải được thể hiện bằng văn bản, trong đó ghi rõ lý do từ chối, người tiếp nhận ký, ghi rõ họ, chữ đệm, tên.</w:t>
            </w:r>
          </w:p>
          <w:p w:rsidR="001758B1" w:rsidRPr="001758B1" w:rsidRDefault="001758B1" w:rsidP="001758B1">
            <w:pPr>
              <w:spacing w:before="120" w:after="120"/>
              <w:jc w:val="both"/>
              <w:rPr>
                <w:rFonts w:eastAsia="Calibri"/>
                <w:sz w:val="24"/>
              </w:rPr>
            </w:pPr>
            <w:r w:rsidRPr="001758B1">
              <w:rPr>
                <w:rFonts w:eastAsia="Calibri"/>
                <w:sz w:val="24"/>
              </w:rPr>
              <w:t>- Trường hợp hồ sơ được gửi qua hệ thống bưu chính thì Trung tâm Phục vụ hành chính công tỉnh Đắk Nông gửi giấy tiếp nhận hồ sơ và hẹn trả kết quả cho người nộp hồ sơ qua hệ thống bưu chính.</w:t>
            </w:r>
          </w:p>
          <w:p w:rsidR="001758B1" w:rsidRPr="001758B1" w:rsidRDefault="001758B1" w:rsidP="001758B1">
            <w:pPr>
              <w:autoSpaceDE w:val="0"/>
              <w:autoSpaceDN w:val="0"/>
              <w:adjustRightInd w:val="0"/>
              <w:spacing w:before="120" w:after="120"/>
              <w:jc w:val="both"/>
              <w:rPr>
                <w:rFonts w:eastAsia="Calibri"/>
                <w:sz w:val="24"/>
                <w:shd w:val="clear" w:color="auto" w:fill="FFFFFF"/>
              </w:rPr>
            </w:pPr>
            <w:r w:rsidRPr="001758B1">
              <w:rPr>
                <w:rFonts w:eastAsia="Calibri"/>
                <w:sz w:val="24"/>
                <w:shd w:val="clear" w:color="auto" w:fill="FFFFFF"/>
              </w:rPr>
              <w:t xml:space="preserve">- Thực hiện chuyển hồ sơ đến Sở </w:t>
            </w:r>
            <w:r w:rsidR="007C2404">
              <w:rPr>
                <w:rFonts w:eastAsia="Calibri"/>
                <w:sz w:val="24"/>
                <w:shd w:val="clear" w:color="auto" w:fill="FFFFFF"/>
              </w:rPr>
              <w:t xml:space="preserve">Y tế </w:t>
            </w:r>
            <w:r w:rsidRPr="001758B1">
              <w:rPr>
                <w:rFonts w:eastAsia="Calibri"/>
                <w:sz w:val="24"/>
                <w:shd w:val="clear" w:color="auto" w:fill="FFFFFF"/>
              </w:rPr>
              <w:t>để giải quyết.</w:t>
            </w:r>
          </w:p>
          <w:p w:rsidR="001758B1" w:rsidRPr="001758B1" w:rsidRDefault="001758B1" w:rsidP="001758B1">
            <w:pPr>
              <w:spacing w:before="120" w:after="120"/>
              <w:jc w:val="both"/>
              <w:rPr>
                <w:rFonts w:eastAsia="Calibri"/>
                <w:sz w:val="24"/>
                <w:lang w:val="nl-NL"/>
              </w:rPr>
            </w:pPr>
            <w:r w:rsidRPr="001758B1">
              <w:rPr>
                <w:rFonts w:eastAsia="Calibri"/>
                <w:b/>
                <w:sz w:val="24"/>
                <w:shd w:val="clear" w:color="auto" w:fill="FFFFFF"/>
                <w:lang w:val="nl-NL"/>
              </w:rPr>
              <w:t>Bước 3:</w:t>
            </w:r>
            <w:r w:rsidRPr="001758B1">
              <w:rPr>
                <w:rFonts w:eastAsia="Calibri"/>
                <w:sz w:val="24"/>
                <w:lang w:val="nl-NL"/>
              </w:rPr>
              <w:t xml:space="preserve"> </w:t>
            </w:r>
          </w:p>
          <w:p w:rsidR="001758B1" w:rsidRDefault="007C2404" w:rsidP="001758B1">
            <w:pPr>
              <w:spacing w:before="120" w:after="120"/>
              <w:jc w:val="both"/>
              <w:rPr>
                <w:sz w:val="24"/>
              </w:rPr>
            </w:pPr>
            <w:r>
              <w:rPr>
                <w:rFonts w:eastAsia="Calibri"/>
                <w:sz w:val="24"/>
                <w:lang w:val="nl-NL" w:eastAsia="x-none"/>
              </w:rPr>
              <w:t xml:space="preserve">- </w:t>
            </w:r>
            <w:r w:rsidR="001758B1" w:rsidRPr="001758B1">
              <w:rPr>
                <w:rFonts w:eastAsia="Calibri"/>
                <w:sz w:val="24"/>
                <w:lang w:val="nl-NL" w:eastAsia="x-none"/>
              </w:rPr>
              <w:t xml:space="preserve">Sở </w:t>
            </w:r>
            <w:r>
              <w:rPr>
                <w:rFonts w:eastAsia="Calibri"/>
                <w:sz w:val="24"/>
                <w:lang w:val="nl-NL" w:eastAsia="x-none"/>
              </w:rPr>
              <w:t xml:space="preserve">Y tế </w:t>
            </w:r>
            <w:r w:rsidRPr="007C2404">
              <w:rPr>
                <w:sz w:val="24"/>
              </w:rPr>
              <w:t>có trách nhiệm xem xét hồ sơ và trả kết quả theo Mẫu số 11 Phụ lục I ban hành kèm theo Nghị định 15/2018/NĐ-CP. Thời hạn này được tính từ ngày đóng dấu đến của cơ quan tiếp nhận hồ sơ nếu hồ sơ được gửi qua đường bưu điện hoặc ngày hồ sơ hoàn chỉnh được tiếp nhận trên hệ thống dịch vụ công trực tuyến</w:t>
            </w:r>
            <w:r>
              <w:rPr>
                <w:sz w:val="24"/>
              </w:rPr>
              <w:t>.</w:t>
            </w:r>
          </w:p>
          <w:p w:rsidR="007C2404" w:rsidRPr="007C2404" w:rsidRDefault="007C2404" w:rsidP="00D32356">
            <w:pPr>
              <w:spacing w:before="120" w:after="280" w:afterAutospacing="1"/>
              <w:jc w:val="both"/>
              <w:rPr>
                <w:sz w:val="24"/>
              </w:rPr>
            </w:pPr>
            <w:r>
              <w:rPr>
                <w:sz w:val="24"/>
              </w:rPr>
              <w:t xml:space="preserve">- </w:t>
            </w:r>
            <w:r w:rsidRPr="007C2404">
              <w:rPr>
                <w:sz w:val="24"/>
              </w:rPr>
              <w:t xml:space="preserve">Trong trường hợp không đồng ý với nội dung quảng cáo của tổ chức, cá nhân hoặc yêu cầu sửa đổi, </w:t>
            </w:r>
            <w:r w:rsidR="00D32356">
              <w:rPr>
                <w:sz w:val="24"/>
              </w:rPr>
              <w:t>bổ sung, Sở Y tế</w:t>
            </w:r>
            <w:r w:rsidRPr="007C2404">
              <w:rPr>
                <w:sz w:val="24"/>
              </w:rPr>
              <w:t xml:space="preserve"> phải có văn bản nêu rõ lý do và căn cứ pháp lý của việc yêu cầu. Cơ quan tiếp nhận hồ sơ chỉ được yêu cầu sửa đổi, bổ sung 01 lần.</w:t>
            </w:r>
          </w:p>
          <w:p w:rsidR="007C2404" w:rsidRPr="001758B1" w:rsidRDefault="00D32356" w:rsidP="007C2404">
            <w:pPr>
              <w:spacing w:before="120" w:after="120"/>
              <w:jc w:val="both"/>
              <w:rPr>
                <w:sz w:val="24"/>
                <w:lang w:val="nl-NL"/>
              </w:rPr>
            </w:pPr>
            <w:r>
              <w:rPr>
                <w:sz w:val="24"/>
              </w:rPr>
              <w:t xml:space="preserve">- </w:t>
            </w:r>
            <w:r w:rsidR="007C2404" w:rsidRPr="007C2404">
              <w:rPr>
                <w:sz w:val="24"/>
              </w:rPr>
              <w:t xml:space="preserve">Trong thời hạn 10 ngày làm việc kể từ khi nhận hồ sơ sửa đổi, bổ sung, cơ quan tiếp nhận hồ sơ thẩm định hồ sơ và có văn bản trả lời. Sau 90 ngày làm việc kể từ khi </w:t>
            </w:r>
            <w:r w:rsidR="007C2404" w:rsidRPr="007C2404">
              <w:rPr>
                <w:sz w:val="24"/>
              </w:rPr>
              <w:lastRenderedPageBreak/>
              <w:t>có công văn yêu cầu sửa đổi, bổ sung nếu tổ chức, cá nhân không sửa đổi, bổ sung thì hồ sơ không còn giá trị</w:t>
            </w:r>
          </w:p>
          <w:p w:rsidR="001758B1" w:rsidRPr="001758B1" w:rsidRDefault="001758B1" w:rsidP="001758B1">
            <w:pPr>
              <w:spacing w:before="120" w:after="120"/>
              <w:jc w:val="both"/>
              <w:rPr>
                <w:rFonts w:eastAsia="Calibri"/>
                <w:sz w:val="24"/>
                <w:lang w:val="vi-VN"/>
              </w:rPr>
            </w:pPr>
            <w:r w:rsidRPr="001758B1">
              <w:rPr>
                <w:rFonts w:eastAsia="Calibri"/>
                <w:b/>
                <w:sz w:val="24"/>
                <w:lang w:val="nl-NL"/>
              </w:rPr>
              <w:t>Bước 4:</w:t>
            </w:r>
            <w:r w:rsidRPr="001758B1">
              <w:rPr>
                <w:rFonts w:eastAsia="Calibri"/>
                <w:sz w:val="24"/>
                <w:lang w:val="nl-NL"/>
              </w:rPr>
              <w:t xml:space="preserve"> </w:t>
            </w:r>
          </w:p>
          <w:p w:rsidR="001758B1" w:rsidRPr="001758B1" w:rsidRDefault="001758B1" w:rsidP="001758B1">
            <w:pPr>
              <w:spacing w:before="120" w:after="120"/>
              <w:jc w:val="both"/>
              <w:rPr>
                <w:rFonts w:eastAsia="Calibri"/>
                <w:sz w:val="24"/>
                <w:lang w:val="vi-VN"/>
              </w:rPr>
            </w:pPr>
            <w:r w:rsidRPr="001758B1">
              <w:rPr>
                <w:rFonts w:eastAsia="Calibri"/>
                <w:sz w:val="24"/>
                <w:lang w:val="vi-VN"/>
              </w:rPr>
              <w:t xml:space="preserve">Trung tâm </w:t>
            </w:r>
            <w:r w:rsidRPr="001758B1">
              <w:rPr>
                <w:rFonts w:eastAsia="Calibri"/>
                <w:sz w:val="24"/>
              </w:rPr>
              <w:t xml:space="preserve">Phục vụ </w:t>
            </w:r>
            <w:r w:rsidRPr="001758B1">
              <w:rPr>
                <w:rFonts w:eastAsia="Calibri"/>
                <w:sz w:val="24"/>
                <w:lang w:val="vi-VN"/>
              </w:rPr>
              <w:t xml:space="preserve">hành chính công có trách nhiệm </w:t>
            </w:r>
            <w:r w:rsidRPr="001758B1">
              <w:rPr>
                <w:rFonts w:eastAsia="Calibri"/>
                <w:sz w:val="24"/>
                <w:lang w:val="nl-NL"/>
              </w:rPr>
              <w:t>trả</w:t>
            </w:r>
            <w:r w:rsidRPr="001758B1">
              <w:rPr>
                <w:rFonts w:eastAsia="Calibri"/>
                <w:sz w:val="24"/>
                <w:lang w:val="vi-VN"/>
              </w:rPr>
              <w:t xml:space="preserve"> kết quả cho</w:t>
            </w:r>
            <w:r w:rsidR="007C2404">
              <w:rPr>
                <w:rFonts w:eastAsia="Calibri"/>
                <w:sz w:val="24"/>
                <w:lang w:val="nl-NL"/>
              </w:rPr>
              <w:t xml:space="preserve"> tổ chức, cá nhân </w:t>
            </w:r>
            <w:r w:rsidRPr="001758B1">
              <w:rPr>
                <w:rFonts w:eastAsia="Calibri"/>
                <w:sz w:val="24"/>
                <w:lang w:val="vi-VN"/>
              </w:rPr>
              <w:t xml:space="preserve">theo các hình thức sau: </w:t>
            </w:r>
          </w:p>
          <w:p w:rsidR="001758B1" w:rsidRPr="001758B1" w:rsidRDefault="001758B1" w:rsidP="001758B1">
            <w:pPr>
              <w:autoSpaceDE w:val="0"/>
              <w:autoSpaceDN w:val="0"/>
              <w:adjustRightInd w:val="0"/>
              <w:spacing w:before="120" w:after="120"/>
              <w:jc w:val="both"/>
              <w:rPr>
                <w:rFonts w:eastAsia="Calibri"/>
                <w:sz w:val="24"/>
                <w:lang w:val="vi-VN"/>
              </w:rPr>
            </w:pPr>
            <w:r w:rsidRPr="001758B1">
              <w:rPr>
                <w:rFonts w:eastAsia="Calibri"/>
                <w:sz w:val="24"/>
                <w:lang w:val="vi-VN"/>
              </w:rPr>
              <w:t xml:space="preserve">- Trả trực tiếp cho </w:t>
            </w:r>
            <w:r w:rsidRPr="001758B1">
              <w:rPr>
                <w:rFonts w:eastAsia="Calibri"/>
                <w:sz w:val="24"/>
                <w:lang w:val="nl-NL"/>
              </w:rPr>
              <w:t>người đề nghị đăng ký</w:t>
            </w:r>
            <w:r w:rsidRPr="001758B1">
              <w:rPr>
                <w:rFonts w:eastAsia="Calibri"/>
                <w:sz w:val="24"/>
                <w:lang w:val="vi-VN"/>
              </w:rPr>
              <w:t xml:space="preserve"> tại Trung tâm </w:t>
            </w:r>
            <w:r w:rsidRPr="001758B1">
              <w:rPr>
                <w:rFonts w:eastAsia="Calibri"/>
                <w:sz w:val="24"/>
              </w:rPr>
              <w:t xml:space="preserve">Phục vụ </w:t>
            </w:r>
            <w:r w:rsidRPr="001758B1">
              <w:rPr>
                <w:rFonts w:eastAsia="Calibri"/>
                <w:sz w:val="24"/>
                <w:lang w:val="vi-VN"/>
              </w:rPr>
              <w:t>hành chính công.</w:t>
            </w:r>
          </w:p>
          <w:p w:rsidR="001758B1" w:rsidRPr="001758B1" w:rsidRDefault="001758B1" w:rsidP="001758B1">
            <w:pPr>
              <w:spacing w:before="120" w:after="120"/>
              <w:jc w:val="both"/>
              <w:rPr>
                <w:rFonts w:eastAsia="Calibri"/>
                <w:sz w:val="24"/>
                <w:lang w:val="vi-VN"/>
              </w:rPr>
            </w:pPr>
            <w:r w:rsidRPr="001758B1">
              <w:rPr>
                <w:rFonts w:eastAsia="Calibri"/>
                <w:sz w:val="24"/>
                <w:lang w:val="vi-VN"/>
              </w:rPr>
              <w:t xml:space="preserve">- Trả kết quả qua đường bưu chính theo đề nghị của </w:t>
            </w:r>
            <w:r w:rsidRPr="001758B1">
              <w:rPr>
                <w:rFonts w:eastAsia="Calibri"/>
                <w:sz w:val="24"/>
                <w:lang w:val="nl-NL"/>
              </w:rPr>
              <w:t>người đề nghị đăng ký</w:t>
            </w:r>
            <w:r w:rsidRPr="001758B1">
              <w:rPr>
                <w:rFonts w:eastAsia="Calibri"/>
                <w:sz w:val="24"/>
                <w:lang w:val="vi-VN"/>
              </w:rPr>
              <w:t xml:space="preserve"> (phí dịch vụ bưu chính do </w:t>
            </w:r>
            <w:r w:rsidRPr="001758B1">
              <w:rPr>
                <w:rFonts w:eastAsia="Calibri"/>
                <w:sz w:val="24"/>
                <w:lang w:val="nl-NL"/>
              </w:rPr>
              <w:t>người đề nghị đăng ký</w:t>
            </w:r>
            <w:r w:rsidRPr="001758B1">
              <w:rPr>
                <w:rFonts w:eastAsia="Calibri"/>
                <w:sz w:val="24"/>
                <w:lang w:val="vi-VN"/>
              </w:rPr>
              <w:t xml:space="preserve"> chi trả).</w:t>
            </w:r>
          </w:p>
          <w:p w:rsidR="001758B1" w:rsidRPr="001758B1" w:rsidRDefault="001758B1" w:rsidP="001758B1">
            <w:pPr>
              <w:spacing w:before="120" w:after="120"/>
              <w:jc w:val="both"/>
              <w:rPr>
                <w:sz w:val="24"/>
              </w:rPr>
            </w:pPr>
            <w:r w:rsidRPr="001758B1">
              <w:rPr>
                <w:rFonts w:eastAsia="Calibri"/>
                <w:b/>
                <w:sz w:val="24"/>
                <w:lang w:val="vi-VN"/>
              </w:rPr>
              <w:t xml:space="preserve">2. Thời gian giải quyết: </w:t>
            </w:r>
          </w:p>
          <w:p w:rsidR="001758B1" w:rsidRPr="001758B1" w:rsidRDefault="001758B1" w:rsidP="001758B1">
            <w:pPr>
              <w:spacing w:before="120" w:after="120"/>
              <w:jc w:val="both"/>
              <w:rPr>
                <w:sz w:val="24"/>
              </w:rPr>
            </w:pPr>
            <w:r w:rsidRPr="001758B1">
              <w:rPr>
                <w:rFonts w:eastAsia="Calibri"/>
                <w:sz w:val="24"/>
              </w:rPr>
              <w:t>Trong thời hạ</w:t>
            </w:r>
            <w:r w:rsidR="007C2404">
              <w:rPr>
                <w:rFonts w:eastAsia="Calibri"/>
                <w:sz w:val="24"/>
              </w:rPr>
              <w:t>n 10</w:t>
            </w:r>
            <w:r w:rsidRPr="001758B1">
              <w:rPr>
                <w:rFonts w:eastAsia="Calibri"/>
                <w:sz w:val="24"/>
              </w:rPr>
              <w:t xml:space="preserve"> ngày làm việc, kể từ ngày nhận đủ hồ sơ</w:t>
            </w:r>
            <w:r w:rsidRPr="001758B1">
              <w:rPr>
                <w:sz w:val="24"/>
              </w:rPr>
              <w:t>.</w:t>
            </w:r>
          </w:p>
          <w:p w:rsidR="001758B1" w:rsidRPr="001758B1" w:rsidRDefault="001758B1" w:rsidP="001758B1">
            <w:pPr>
              <w:spacing w:before="120" w:after="120"/>
              <w:rPr>
                <w:rFonts w:eastAsia="Calibri"/>
                <w:sz w:val="24"/>
              </w:rPr>
            </w:pPr>
            <w:r w:rsidRPr="001758B1">
              <w:rPr>
                <w:rFonts w:eastAsia="Calibri"/>
                <w:b/>
                <w:sz w:val="24"/>
              </w:rPr>
              <w:t>3. Kết quả thực hiện thủ tục hành chính:</w:t>
            </w:r>
            <w:r w:rsidRPr="001758B1">
              <w:rPr>
                <w:rFonts w:eastAsia="Calibri"/>
                <w:sz w:val="24"/>
              </w:rPr>
              <w:t xml:space="preserve"> </w:t>
            </w:r>
          </w:p>
          <w:p w:rsidR="001758B1" w:rsidRPr="001758B1" w:rsidRDefault="007C2404" w:rsidP="007C2404">
            <w:pPr>
              <w:spacing w:before="120" w:after="120"/>
              <w:jc w:val="both"/>
              <w:rPr>
                <w:sz w:val="24"/>
                <w:lang w:val="nl-NL"/>
              </w:rPr>
            </w:pPr>
            <w:r>
              <w:rPr>
                <w:sz w:val="24"/>
                <w:lang w:val="nl-NL"/>
              </w:rPr>
              <w:t>Giấy xác nhận hồ sơ quảng cáo</w:t>
            </w:r>
          </w:p>
        </w:tc>
        <w:tc>
          <w:tcPr>
            <w:tcW w:w="2977" w:type="dxa"/>
            <w:shd w:val="clear" w:color="auto" w:fill="auto"/>
          </w:tcPr>
          <w:p w:rsidR="00D32356" w:rsidRPr="00D32356" w:rsidRDefault="001758B1" w:rsidP="00D32356">
            <w:pPr>
              <w:shd w:val="clear" w:color="auto" w:fill="FFFFFF"/>
              <w:spacing w:before="120" w:after="120"/>
              <w:jc w:val="both"/>
              <w:rPr>
                <w:sz w:val="24"/>
              </w:rPr>
            </w:pPr>
            <w:r w:rsidRPr="001758B1">
              <w:rPr>
                <w:sz w:val="24"/>
              </w:rPr>
              <w:lastRenderedPageBreak/>
              <w:t xml:space="preserve">- </w:t>
            </w:r>
            <w:r w:rsidR="00D32356" w:rsidRPr="00D32356">
              <w:rPr>
                <w:sz w:val="24"/>
              </w:rPr>
              <w:t xml:space="preserve">Luật </w:t>
            </w:r>
            <w:proofErr w:type="gramStart"/>
            <w:r w:rsidR="00D32356" w:rsidRPr="00D32356">
              <w:rPr>
                <w:sz w:val="24"/>
              </w:rPr>
              <w:t>An</w:t>
            </w:r>
            <w:proofErr w:type="gramEnd"/>
            <w:r w:rsidR="00D32356" w:rsidRPr="00D32356">
              <w:rPr>
                <w:sz w:val="24"/>
              </w:rPr>
              <w:t xml:space="preserve"> toàn thực phẩm số 55/2010/QH12 ngày 17/6/2010 của Quốc hội.</w:t>
            </w:r>
          </w:p>
          <w:p w:rsidR="00D32356" w:rsidRPr="00D32356" w:rsidRDefault="00D32356" w:rsidP="00D32356">
            <w:pPr>
              <w:shd w:val="clear" w:color="auto" w:fill="FFFFFF"/>
              <w:spacing w:before="120" w:after="120"/>
              <w:jc w:val="both"/>
              <w:rPr>
                <w:sz w:val="24"/>
              </w:rPr>
            </w:pPr>
            <w:r>
              <w:rPr>
                <w:sz w:val="24"/>
              </w:rPr>
              <w:t xml:space="preserve">- </w:t>
            </w:r>
            <w:r w:rsidRPr="00D32356">
              <w:rPr>
                <w:sz w:val="24"/>
              </w:rPr>
              <w:t>Luật quảng cáo số 16/2012/QH13 ngày 21/6/2012 của Quốc hội.</w:t>
            </w:r>
          </w:p>
          <w:p w:rsidR="00D32356" w:rsidRPr="00D32356" w:rsidRDefault="00D32356" w:rsidP="00D32356">
            <w:pPr>
              <w:shd w:val="clear" w:color="auto" w:fill="FFFFFF"/>
              <w:spacing w:before="120" w:after="120"/>
              <w:jc w:val="both"/>
              <w:rPr>
                <w:sz w:val="24"/>
              </w:rPr>
            </w:pPr>
            <w:r>
              <w:rPr>
                <w:sz w:val="24"/>
              </w:rPr>
              <w:t xml:space="preserve">- </w:t>
            </w:r>
            <w:r w:rsidRPr="00D32356">
              <w:rPr>
                <w:sz w:val="24"/>
              </w:rPr>
              <w:t xml:space="preserve">Nghị định số 15/2018/NĐ-CP ngày 2/2/2018 của Chính phủ quy định chi tiết thi hành một số Điều của Luật </w:t>
            </w:r>
            <w:proofErr w:type="gramStart"/>
            <w:r w:rsidRPr="00D32356">
              <w:rPr>
                <w:sz w:val="24"/>
              </w:rPr>
              <w:t>An</w:t>
            </w:r>
            <w:proofErr w:type="gramEnd"/>
            <w:r w:rsidRPr="00D32356">
              <w:rPr>
                <w:sz w:val="24"/>
              </w:rPr>
              <w:t xml:space="preserve"> toàn thực phẩm.</w:t>
            </w:r>
          </w:p>
          <w:p w:rsidR="00D32356" w:rsidRPr="00D32356" w:rsidRDefault="00D32356" w:rsidP="00D32356">
            <w:pPr>
              <w:shd w:val="clear" w:color="auto" w:fill="FFFFFF"/>
              <w:spacing w:before="120" w:after="120"/>
              <w:jc w:val="both"/>
              <w:rPr>
                <w:sz w:val="24"/>
              </w:rPr>
            </w:pPr>
            <w:r>
              <w:rPr>
                <w:sz w:val="24"/>
              </w:rPr>
              <w:t xml:space="preserve">- </w:t>
            </w:r>
            <w:r w:rsidRPr="00D32356">
              <w:rPr>
                <w:sz w:val="24"/>
              </w:rPr>
              <w:t>Nghị định số 181/2013/NĐ-CP ngày 14 tháng 11 năm 2013, quy định chi tiết thi hành một số điều của Luật Quảng cáo.</w:t>
            </w:r>
          </w:p>
          <w:p w:rsidR="00D32356" w:rsidRPr="00D32356" w:rsidRDefault="00D32356" w:rsidP="00D32356">
            <w:pPr>
              <w:shd w:val="clear" w:color="auto" w:fill="FFFFFF"/>
              <w:spacing w:before="120" w:after="120"/>
              <w:jc w:val="both"/>
              <w:rPr>
                <w:sz w:val="24"/>
              </w:rPr>
            </w:pPr>
            <w:r>
              <w:rPr>
                <w:sz w:val="24"/>
              </w:rPr>
              <w:t xml:space="preserve">- </w:t>
            </w:r>
            <w:r w:rsidRPr="00D32356">
              <w:rPr>
                <w:sz w:val="24"/>
              </w:rPr>
              <w:t xml:space="preserve">Thông tư số 09/2015/TT-BYT ngày 25/5/2015 về xác </w:t>
            </w:r>
            <w:r w:rsidRPr="00D32356">
              <w:rPr>
                <w:sz w:val="24"/>
              </w:rPr>
              <w:lastRenderedPageBreak/>
              <w:t>nhận nội dung quảng cáo đối với sản phẩm, hàng hóa, dịch vụ đặc biệt thuộc lĩnh vực quản lý của Bộ Y tế.</w:t>
            </w:r>
          </w:p>
          <w:p w:rsidR="00D32356" w:rsidRPr="00D32356" w:rsidRDefault="00D32356" w:rsidP="00D32356">
            <w:pPr>
              <w:shd w:val="clear" w:color="auto" w:fill="FFFFFF"/>
              <w:spacing w:before="120" w:after="120"/>
              <w:jc w:val="both"/>
              <w:rPr>
                <w:sz w:val="24"/>
              </w:rPr>
            </w:pPr>
            <w:r>
              <w:rPr>
                <w:i/>
                <w:iCs/>
                <w:sz w:val="24"/>
              </w:rPr>
              <w:t xml:space="preserve">- </w:t>
            </w:r>
            <w:r w:rsidRPr="00D32356">
              <w:rPr>
                <w:i/>
                <w:iCs/>
                <w:sz w:val="24"/>
              </w:rPr>
              <w:t>Thông tư số 10/2013/TT-BVHTTDL ngày 06/12/2013, quy định chi tiết và hướng dẫn thực hiện một số điều của Luật quảng cáo và Nghị định số 181/2013/NĐ-CP của Chính phủ quy định chi tiết thi hành một số điều của Luật Quảng Cáo;</w:t>
            </w:r>
          </w:p>
          <w:p w:rsidR="00D32356" w:rsidRPr="00D32356" w:rsidRDefault="00D32356" w:rsidP="00D32356">
            <w:pPr>
              <w:shd w:val="clear" w:color="auto" w:fill="FFFFFF"/>
              <w:spacing w:before="120" w:after="120"/>
              <w:jc w:val="both"/>
              <w:rPr>
                <w:sz w:val="24"/>
              </w:rPr>
            </w:pPr>
            <w:r>
              <w:rPr>
                <w:sz w:val="24"/>
              </w:rPr>
              <w:t xml:space="preserve">- </w:t>
            </w:r>
            <w:r w:rsidRPr="00D32356">
              <w:rPr>
                <w:sz w:val="24"/>
              </w:rPr>
              <w:t>Nghị định số 100/2014/NĐ-CP ngày 06 tháng 11 năm 2014 của Chính phủ quy định về kinh doanh và sử dụng sản phẩm dinh dưỡng dùng cho trẻ nhỏ, bình bú và vú ngậm nhân tạo.</w:t>
            </w:r>
          </w:p>
          <w:p w:rsidR="007C2404" w:rsidRPr="001758B1" w:rsidRDefault="00D32356" w:rsidP="00D32356">
            <w:pPr>
              <w:shd w:val="clear" w:color="auto" w:fill="FFFFFF"/>
              <w:spacing w:before="120" w:after="120"/>
              <w:jc w:val="both"/>
              <w:rPr>
                <w:i/>
                <w:sz w:val="24"/>
                <w:lang w:val="vi-VN"/>
              </w:rPr>
            </w:pPr>
            <w:r>
              <w:rPr>
                <w:i/>
                <w:iCs/>
                <w:sz w:val="24"/>
              </w:rPr>
              <w:t xml:space="preserve">- </w:t>
            </w:r>
            <w:r w:rsidRPr="00D32356">
              <w:rPr>
                <w:i/>
                <w:iCs/>
                <w:sz w:val="24"/>
              </w:rPr>
              <w:t>Thông tư số 67/2021/TT-BTC quy định mức thu, chế độ thu, nộp, quản lý và sử dụng phí trong công tác an toàn thực phẩm.</w:t>
            </w:r>
          </w:p>
          <w:p w:rsidR="001758B1" w:rsidRPr="001758B1" w:rsidRDefault="001758B1" w:rsidP="001758B1">
            <w:pPr>
              <w:widowControl w:val="0"/>
              <w:spacing w:before="120" w:after="120"/>
              <w:jc w:val="both"/>
              <w:rPr>
                <w:i/>
                <w:sz w:val="24"/>
                <w:lang w:val="vi-VN"/>
              </w:rPr>
            </w:pPr>
          </w:p>
        </w:tc>
        <w:tc>
          <w:tcPr>
            <w:tcW w:w="1177" w:type="dxa"/>
            <w:shd w:val="clear" w:color="auto" w:fill="auto"/>
          </w:tcPr>
          <w:p w:rsidR="00D32356" w:rsidRDefault="00D32356" w:rsidP="00D32356">
            <w:pPr>
              <w:spacing w:before="120" w:after="280" w:afterAutospacing="1"/>
              <w:jc w:val="center"/>
            </w:pPr>
            <w:r>
              <w:lastRenderedPageBreak/>
              <w:t>Phí: 1.100.000/lần/1 sản phẩm</w:t>
            </w:r>
          </w:p>
          <w:p w:rsidR="00D32356" w:rsidRDefault="00D32356" w:rsidP="00D32356">
            <w:pPr>
              <w:spacing w:before="120" w:after="280" w:afterAutospacing="1"/>
              <w:jc w:val="center"/>
            </w:pPr>
            <w:r>
              <w:t>Lệ phí: không có;</w:t>
            </w:r>
          </w:p>
          <w:p w:rsidR="001758B1" w:rsidRPr="001758B1" w:rsidRDefault="00D32356" w:rsidP="00D32356">
            <w:pPr>
              <w:spacing w:before="120" w:after="120"/>
              <w:jc w:val="center"/>
              <w:rPr>
                <w:rFonts w:eastAsia="Calibri"/>
                <w:sz w:val="24"/>
              </w:rPr>
            </w:pPr>
            <w:r>
              <w:rPr>
                <w:i/>
                <w:iCs/>
              </w:rPr>
              <w:t xml:space="preserve">(Theo Thông tư 67/2021/TT-BTC quy định mức thu, chế độ thu, nộp, quản lý và sử dụng phí </w:t>
            </w:r>
            <w:r>
              <w:rPr>
                <w:i/>
                <w:iCs/>
              </w:rPr>
              <w:lastRenderedPageBreak/>
              <w:t>trong công tác an toàn thực phẩm)</w:t>
            </w:r>
          </w:p>
        </w:tc>
        <w:tc>
          <w:tcPr>
            <w:tcW w:w="1017" w:type="dxa"/>
            <w:shd w:val="clear" w:color="auto" w:fill="auto"/>
          </w:tcPr>
          <w:p w:rsidR="001758B1" w:rsidRPr="001758B1" w:rsidRDefault="00E07432" w:rsidP="00E07432">
            <w:pPr>
              <w:spacing w:before="120" w:after="120"/>
              <w:jc w:val="center"/>
              <w:rPr>
                <w:rFonts w:eastAsia="Calibri"/>
                <w:sz w:val="24"/>
              </w:rPr>
            </w:pPr>
            <w:r w:rsidRPr="00E07432">
              <w:rPr>
                <w:rFonts w:eastAsia="Calibri"/>
                <w:sz w:val="24"/>
              </w:rPr>
              <w:lastRenderedPageBreak/>
              <w:br/>
            </w:r>
            <w:hyperlink r:id="rId13" w:history="1">
              <w:r w:rsidRPr="00E07432">
                <w:rPr>
                  <w:rStyle w:val="Hyperlink"/>
                  <w:rFonts w:eastAsia="Calibri"/>
                  <w:sz w:val="24"/>
                </w:rPr>
                <w:t>1.003108</w:t>
              </w:r>
            </w:hyperlink>
          </w:p>
        </w:tc>
      </w:tr>
    </w:tbl>
    <w:p w:rsidR="001758B1" w:rsidRPr="009C1B2D" w:rsidRDefault="009C1B2D" w:rsidP="009C1B2D">
      <w:pPr>
        <w:jc w:val="center"/>
        <w:rPr>
          <w:b/>
        </w:rPr>
      </w:pPr>
      <w:r w:rsidRPr="009C1B2D">
        <w:rPr>
          <w:b/>
        </w:rPr>
        <w:lastRenderedPageBreak/>
        <w:t>Tổng cộng:</w:t>
      </w:r>
      <w:r>
        <w:rPr>
          <w:b/>
        </w:rPr>
        <w:t xml:space="preserve"> </w:t>
      </w:r>
      <w:bookmarkStart w:id="1" w:name="_GoBack"/>
      <w:bookmarkEnd w:id="1"/>
      <w:r w:rsidRPr="009C1B2D">
        <w:rPr>
          <w:b/>
        </w:rPr>
        <w:t>01 TTHC./.</w:t>
      </w:r>
    </w:p>
    <w:sectPr w:rsidR="001758B1" w:rsidRPr="009C1B2D" w:rsidSect="001758B1">
      <w:pgSz w:w="16834" w:h="11909" w:orient="landscape" w:code="9"/>
      <w:pgMar w:top="1701" w:right="851" w:bottom="1140" w:left="425"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3C4" w:rsidRDefault="00AE23C4">
      <w:r>
        <w:separator/>
      </w:r>
    </w:p>
  </w:endnote>
  <w:endnote w:type="continuationSeparator" w:id="0">
    <w:p w:rsidR="00AE23C4" w:rsidRDefault="00AE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FF3" w:rsidRDefault="00C3738D">
    <w:pPr>
      <w:pStyle w:val="Footer"/>
      <w:framePr w:wrap="around" w:vAnchor="text" w:hAnchor="margin" w:xAlign="center" w:y="1"/>
      <w:rPr>
        <w:rStyle w:val="PageNumber"/>
        <w:rFonts w:eastAsiaTheme="majorEastAsia"/>
      </w:rPr>
    </w:pPr>
    <w:r>
      <w:rPr>
        <w:rStyle w:val="PageNumber"/>
        <w:rFonts w:eastAsiaTheme="majorEastAsia"/>
      </w:rPr>
      <w:fldChar w:fldCharType="begin"/>
    </w:r>
    <w:r w:rsidR="00EA7CAC">
      <w:rPr>
        <w:rStyle w:val="PageNumber"/>
        <w:rFonts w:eastAsiaTheme="majorEastAsia"/>
      </w:rPr>
      <w:instrText xml:space="preserve">PAGE  </w:instrText>
    </w:r>
    <w:r>
      <w:rPr>
        <w:rStyle w:val="PageNumber"/>
        <w:rFonts w:eastAsiaTheme="majorEastAsia"/>
      </w:rPr>
      <w:fldChar w:fldCharType="separate"/>
    </w:r>
    <w:r w:rsidR="00EA7CAC">
      <w:rPr>
        <w:rStyle w:val="PageNumber"/>
        <w:rFonts w:eastAsiaTheme="majorEastAsia"/>
        <w:noProof/>
      </w:rPr>
      <w:t>2</w:t>
    </w:r>
    <w:r>
      <w:rPr>
        <w:rStyle w:val="PageNumber"/>
        <w:rFonts w:eastAsiaTheme="majorEastAsia"/>
      </w:rPr>
      <w:fldChar w:fldCharType="end"/>
    </w:r>
  </w:p>
  <w:p w:rsidR="00800FF3" w:rsidRDefault="00800FF3">
    <w:pPr>
      <w:pStyle w:val="Footer"/>
    </w:pPr>
  </w:p>
  <w:p w:rsidR="0005660F" w:rsidRDefault="0005660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64" w:rsidRDefault="0077596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2BC" w:rsidRDefault="00B672BC">
    <w:pPr>
      <w:pStyle w:val="Footer"/>
    </w:pPr>
  </w:p>
  <w:p w:rsidR="00B672BC" w:rsidRDefault="00B672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3C4" w:rsidRDefault="00AE23C4">
      <w:r>
        <w:separator/>
      </w:r>
    </w:p>
  </w:footnote>
  <w:footnote w:type="continuationSeparator" w:id="0">
    <w:p w:rsidR="00AE23C4" w:rsidRDefault="00AE23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64" w:rsidRDefault="007759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785216"/>
      <w:docPartObj>
        <w:docPartGallery w:val="Page Numbers (Top of Page)"/>
        <w:docPartUnique/>
      </w:docPartObj>
    </w:sdtPr>
    <w:sdtEndPr>
      <w:rPr>
        <w:noProof/>
      </w:rPr>
    </w:sdtEndPr>
    <w:sdtContent>
      <w:p w:rsidR="000639A7" w:rsidRDefault="000639A7">
        <w:pPr>
          <w:pStyle w:val="Header"/>
          <w:jc w:val="center"/>
        </w:pPr>
      </w:p>
      <w:p w:rsidR="000639A7" w:rsidRDefault="000639A7">
        <w:pPr>
          <w:pStyle w:val="Header"/>
          <w:jc w:val="center"/>
        </w:pPr>
      </w:p>
      <w:p w:rsidR="000639A7" w:rsidRDefault="000639A7">
        <w:pPr>
          <w:pStyle w:val="Header"/>
          <w:jc w:val="center"/>
        </w:pPr>
      </w:p>
      <w:p w:rsidR="008E6193" w:rsidRDefault="00AE23C4">
        <w:pPr>
          <w:pStyle w:val="Header"/>
          <w:jc w:val="center"/>
        </w:pP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97296"/>
      <w:docPartObj>
        <w:docPartGallery w:val="Page Numbers (Top of Page)"/>
        <w:docPartUnique/>
      </w:docPartObj>
    </w:sdtPr>
    <w:sdtEndPr>
      <w:rPr>
        <w:noProof/>
      </w:rPr>
    </w:sdtEndPr>
    <w:sdtContent>
      <w:p w:rsidR="00775964" w:rsidRDefault="00775964">
        <w:pPr>
          <w:pStyle w:val="Header"/>
          <w:jc w:val="center"/>
        </w:pPr>
      </w:p>
      <w:p w:rsidR="00775964" w:rsidRDefault="00775964">
        <w:pPr>
          <w:pStyle w:val="Header"/>
          <w:jc w:val="center"/>
        </w:pPr>
      </w:p>
      <w:p w:rsidR="00775964" w:rsidRDefault="00775964">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775964" w:rsidRDefault="007759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EF"/>
    <w:rsid w:val="0000180E"/>
    <w:rsid w:val="00025FE7"/>
    <w:rsid w:val="00033575"/>
    <w:rsid w:val="0005660F"/>
    <w:rsid w:val="00056D25"/>
    <w:rsid w:val="00061716"/>
    <w:rsid w:val="0006278D"/>
    <w:rsid w:val="00062A7B"/>
    <w:rsid w:val="000639A7"/>
    <w:rsid w:val="00065D7E"/>
    <w:rsid w:val="00066C03"/>
    <w:rsid w:val="00074584"/>
    <w:rsid w:val="00097668"/>
    <w:rsid w:val="000978E1"/>
    <w:rsid w:val="000C620F"/>
    <w:rsid w:val="000C7ED7"/>
    <w:rsid w:val="000E5691"/>
    <w:rsid w:val="000E7EBD"/>
    <w:rsid w:val="000F0C27"/>
    <w:rsid w:val="001012E0"/>
    <w:rsid w:val="00106E73"/>
    <w:rsid w:val="0010733E"/>
    <w:rsid w:val="00110357"/>
    <w:rsid w:val="00111962"/>
    <w:rsid w:val="001270CB"/>
    <w:rsid w:val="001307B7"/>
    <w:rsid w:val="00131306"/>
    <w:rsid w:val="001369E0"/>
    <w:rsid w:val="00137246"/>
    <w:rsid w:val="001374A6"/>
    <w:rsid w:val="001409F0"/>
    <w:rsid w:val="00141676"/>
    <w:rsid w:val="001533AA"/>
    <w:rsid w:val="0015525A"/>
    <w:rsid w:val="00172508"/>
    <w:rsid w:val="001758B1"/>
    <w:rsid w:val="00187F48"/>
    <w:rsid w:val="00196BF0"/>
    <w:rsid w:val="001A29E0"/>
    <w:rsid w:val="001C424E"/>
    <w:rsid w:val="001D4108"/>
    <w:rsid w:val="001D5126"/>
    <w:rsid w:val="001D6136"/>
    <w:rsid w:val="001D62BE"/>
    <w:rsid w:val="001E2164"/>
    <w:rsid w:val="001E60AF"/>
    <w:rsid w:val="00200DD5"/>
    <w:rsid w:val="00204BEB"/>
    <w:rsid w:val="00212DC2"/>
    <w:rsid w:val="00221997"/>
    <w:rsid w:val="00232364"/>
    <w:rsid w:val="002344E4"/>
    <w:rsid w:val="0023765E"/>
    <w:rsid w:val="00246B4C"/>
    <w:rsid w:val="00251CA7"/>
    <w:rsid w:val="0025228D"/>
    <w:rsid w:val="0025526B"/>
    <w:rsid w:val="00260809"/>
    <w:rsid w:val="0026642F"/>
    <w:rsid w:val="0028049A"/>
    <w:rsid w:val="00283595"/>
    <w:rsid w:val="002850C8"/>
    <w:rsid w:val="00293420"/>
    <w:rsid w:val="002C1C3E"/>
    <w:rsid w:val="002C2A80"/>
    <w:rsid w:val="002C7E14"/>
    <w:rsid w:val="002C7FAD"/>
    <w:rsid w:val="003320FC"/>
    <w:rsid w:val="0034285F"/>
    <w:rsid w:val="00357ECF"/>
    <w:rsid w:val="00365497"/>
    <w:rsid w:val="003664A0"/>
    <w:rsid w:val="003673A0"/>
    <w:rsid w:val="00371521"/>
    <w:rsid w:val="003758D7"/>
    <w:rsid w:val="003913E9"/>
    <w:rsid w:val="003B0378"/>
    <w:rsid w:val="003B2BA0"/>
    <w:rsid w:val="003C0581"/>
    <w:rsid w:val="003C147B"/>
    <w:rsid w:val="003C6711"/>
    <w:rsid w:val="003C7EA8"/>
    <w:rsid w:val="003D71F5"/>
    <w:rsid w:val="00400129"/>
    <w:rsid w:val="00412649"/>
    <w:rsid w:val="00417695"/>
    <w:rsid w:val="00424938"/>
    <w:rsid w:val="00427AAE"/>
    <w:rsid w:val="00435231"/>
    <w:rsid w:val="00450CBE"/>
    <w:rsid w:val="00460563"/>
    <w:rsid w:val="004631F7"/>
    <w:rsid w:val="004712B9"/>
    <w:rsid w:val="004738A6"/>
    <w:rsid w:val="00480834"/>
    <w:rsid w:val="00483371"/>
    <w:rsid w:val="004A4EDD"/>
    <w:rsid w:val="004B60C5"/>
    <w:rsid w:val="004C2FCD"/>
    <w:rsid w:val="004C5C75"/>
    <w:rsid w:val="004D1F75"/>
    <w:rsid w:val="004D3B90"/>
    <w:rsid w:val="004D5C48"/>
    <w:rsid w:val="0050617A"/>
    <w:rsid w:val="005205DD"/>
    <w:rsid w:val="0052534C"/>
    <w:rsid w:val="00545932"/>
    <w:rsid w:val="0054707A"/>
    <w:rsid w:val="005939A2"/>
    <w:rsid w:val="005A37CA"/>
    <w:rsid w:val="005A6305"/>
    <w:rsid w:val="005A6F9D"/>
    <w:rsid w:val="005B0534"/>
    <w:rsid w:val="005B4127"/>
    <w:rsid w:val="005C4141"/>
    <w:rsid w:val="005E0F32"/>
    <w:rsid w:val="005F30F0"/>
    <w:rsid w:val="006211EF"/>
    <w:rsid w:val="006302EF"/>
    <w:rsid w:val="00634AFC"/>
    <w:rsid w:val="00651CF5"/>
    <w:rsid w:val="00651FCD"/>
    <w:rsid w:val="006664A9"/>
    <w:rsid w:val="00672675"/>
    <w:rsid w:val="00673703"/>
    <w:rsid w:val="00686FCE"/>
    <w:rsid w:val="00693159"/>
    <w:rsid w:val="006A3073"/>
    <w:rsid w:val="006A61CF"/>
    <w:rsid w:val="006B3878"/>
    <w:rsid w:val="006B4694"/>
    <w:rsid w:val="006B6A40"/>
    <w:rsid w:val="006C14CF"/>
    <w:rsid w:val="006C1E89"/>
    <w:rsid w:val="006C22A8"/>
    <w:rsid w:val="006D0184"/>
    <w:rsid w:val="006D1C80"/>
    <w:rsid w:val="006E41C8"/>
    <w:rsid w:val="006E5EE1"/>
    <w:rsid w:val="006F549E"/>
    <w:rsid w:val="00706CE5"/>
    <w:rsid w:val="00712BC0"/>
    <w:rsid w:val="00713505"/>
    <w:rsid w:val="00731EA9"/>
    <w:rsid w:val="0073241B"/>
    <w:rsid w:val="007453E7"/>
    <w:rsid w:val="0076452D"/>
    <w:rsid w:val="00775964"/>
    <w:rsid w:val="007800A7"/>
    <w:rsid w:val="0078633B"/>
    <w:rsid w:val="00790E7D"/>
    <w:rsid w:val="0079436C"/>
    <w:rsid w:val="007A4C60"/>
    <w:rsid w:val="007B05F6"/>
    <w:rsid w:val="007B5F19"/>
    <w:rsid w:val="007C2404"/>
    <w:rsid w:val="007C7D84"/>
    <w:rsid w:val="007D475B"/>
    <w:rsid w:val="00800FF3"/>
    <w:rsid w:val="008120C4"/>
    <w:rsid w:val="008451C0"/>
    <w:rsid w:val="00846C9B"/>
    <w:rsid w:val="008638D8"/>
    <w:rsid w:val="008706C6"/>
    <w:rsid w:val="00871843"/>
    <w:rsid w:val="00876480"/>
    <w:rsid w:val="008778CB"/>
    <w:rsid w:val="008819DF"/>
    <w:rsid w:val="00881C23"/>
    <w:rsid w:val="008B1307"/>
    <w:rsid w:val="008B2EEA"/>
    <w:rsid w:val="008D14E6"/>
    <w:rsid w:val="008E20A5"/>
    <w:rsid w:val="008E33F2"/>
    <w:rsid w:val="008E6193"/>
    <w:rsid w:val="008F69B5"/>
    <w:rsid w:val="0090016A"/>
    <w:rsid w:val="009053B0"/>
    <w:rsid w:val="0090640F"/>
    <w:rsid w:val="0091569A"/>
    <w:rsid w:val="009211BD"/>
    <w:rsid w:val="00921C65"/>
    <w:rsid w:val="00930F6B"/>
    <w:rsid w:val="009457A1"/>
    <w:rsid w:val="00957A7D"/>
    <w:rsid w:val="00966C4B"/>
    <w:rsid w:val="00970B08"/>
    <w:rsid w:val="00973938"/>
    <w:rsid w:val="00974610"/>
    <w:rsid w:val="0098262D"/>
    <w:rsid w:val="00984D53"/>
    <w:rsid w:val="00985272"/>
    <w:rsid w:val="009B0650"/>
    <w:rsid w:val="009B3CBB"/>
    <w:rsid w:val="009B3F99"/>
    <w:rsid w:val="009C0F35"/>
    <w:rsid w:val="009C1B2D"/>
    <w:rsid w:val="009C283D"/>
    <w:rsid w:val="009E2641"/>
    <w:rsid w:val="009E4019"/>
    <w:rsid w:val="009E59BD"/>
    <w:rsid w:val="009F1F90"/>
    <w:rsid w:val="00A06348"/>
    <w:rsid w:val="00A1303B"/>
    <w:rsid w:val="00A27458"/>
    <w:rsid w:val="00A36A87"/>
    <w:rsid w:val="00A37834"/>
    <w:rsid w:val="00A40BEA"/>
    <w:rsid w:val="00A450F1"/>
    <w:rsid w:val="00A458C4"/>
    <w:rsid w:val="00A555CC"/>
    <w:rsid w:val="00A5663B"/>
    <w:rsid w:val="00A56B1B"/>
    <w:rsid w:val="00A7693D"/>
    <w:rsid w:val="00A778D7"/>
    <w:rsid w:val="00A9782B"/>
    <w:rsid w:val="00AB4A17"/>
    <w:rsid w:val="00AB4F35"/>
    <w:rsid w:val="00AD59F8"/>
    <w:rsid w:val="00AE013A"/>
    <w:rsid w:val="00AE23C4"/>
    <w:rsid w:val="00AE4749"/>
    <w:rsid w:val="00AF5118"/>
    <w:rsid w:val="00B013A4"/>
    <w:rsid w:val="00B2170A"/>
    <w:rsid w:val="00B23C3C"/>
    <w:rsid w:val="00B3213A"/>
    <w:rsid w:val="00B32969"/>
    <w:rsid w:val="00B402F6"/>
    <w:rsid w:val="00B54C4F"/>
    <w:rsid w:val="00B672BC"/>
    <w:rsid w:val="00B95D50"/>
    <w:rsid w:val="00BA3B27"/>
    <w:rsid w:val="00BB4852"/>
    <w:rsid w:val="00BC7291"/>
    <w:rsid w:val="00BF1ED2"/>
    <w:rsid w:val="00BF47D1"/>
    <w:rsid w:val="00C01D74"/>
    <w:rsid w:val="00C024FA"/>
    <w:rsid w:val="00C04148"/>
    <w:rsid w:val="00C06E01"/>
    <w:rsid w:val="00C1614A"/>
    <w:rsid w:val="00C16C9F"/>
    <w:rsid w:val="00C20CA5"/>
    <w:rsid w:val="00C2201E"/>
    <w:rsid w:val="00C30F8A"/>
    <w:rsid w:val="00C3738D"/>
    <w:rsid w:val="00C52D9A"/>
    <w:rsid w:val="00C569FD"/>
    <w:rsid w:val="00C81E56"/>
    <w:rsid w:val="00C85097"/>
    <w:rsid w:val="00C87A0D"/>
    <w:rsid w:val="00C90EAF"/>
    <w:rsid w:val="00CA5888"/>
    <w:rsid w:val="00CA6CCF"/>
    <w:rsid w:val="00CA78F0"/>
    <w:rsid w:val="00CB0118"/>
    <w:rsid w:val="00CB5F1B"/>
    <w:rsid w:val="00CC2845"/>
    <w:rsid w:val="00CC52EE"/>
    <w:rsid w:val="00CD1367"/>
    <w:rsid w:val="00CD20B4"/>
    <w:rsid w:val="00CE35BD"/>
    <w:rsid w:val="00CE7362"/>
    <w:rsid w:val="00CF5AB9"/>
    <w:rsid w:val="00CF5D1D"/>
    <w:rsid w:val="00D0727C"/>
    <w:rsid w:val="00D123E6"/>
    <w:rsid w:val="00D1433F"/>
    <w:rsid w:val="00D14BD5"/>
    <w:rsid w:val="00D17CEF"/>
    <w:rsid w:val="00D32356"/>
    <w:rsid w:val="00D37365"/>
    <w:rsid w:val="00D57B30"/>
    <w:rsid w:val="00D72EE8"/>
    <w:rsid w:val="00D77C9A"/>
    <w:rsid w:val="00D9512A"/>
    <w:rsid w:val="00D96DAD"/>
    <w:rsid w:val="00D9723F"/>
    <w:rsid w:val="00DB43E4"/>
    <w:rsid w:val="00DC2B41"/>
    <w:rsid w:val="00DE0146"/>
    <w:rsid w:val="00DE78F0"/>
    <w:rsid w:val="00E00E51"/>
    <w:rsid w:val="00E05327"/>
    <w:rsid w:val="00E05440"/>
    <w:rsid w:val="00E07432"/>
    <w:rsid w:val="00E12478"/>
    <w:rsid w:val="00E20BA8"/>
    <w:rsid w:val="00E20CED"/>
    <w:rsid w:val="00E305F8"/>
    <w:rsid w:val="00E34E52"/>
    <w:rsid w:val="00E40A21"/>
    <w:rsid w:val="00E41DF7"/>
    <w:rsid w:val="00E57706"/>
    <w:rsid w:val="00E61BDD"/>
    <w:rsid w:val="00E715E9"/>
    <w:rsid w:val="00E73E3D"/>
    <w:rsid w:val="00E74420"/>
    <w:rsid w:val="00E91B1F"/>
    <w:rsid w:val="00EA7CAC"/>
    <w:rsid w:val="00EB1383"/>
    <w:rsid w:val="00ED3AB1"/>
    <w:rsid w:val="00ED7E55"/>
    <w:rsid w:val="00EE154A"/>
    <w:rsid w:val="00F11011"/>
    <w:rsid w:val="00F171BE"/>
    <w:rsid w:val="00F17FEF"/>
    <w:rsid w:val="00F25884"/>
    <w:rsid w:val="00F40901"/>
    <w:rsid w:val="00F439DE"/>
    <w:rsid w:val="00F45578"/>
    <w:rsid w:val="00F501DF"/>
    <w:rsid w:val="00F5048F"/>
    <w:rsid w:val="00F53C62"/>
    <w:rsid w:val="00F7263C"/>
    <w:rsid w:val="00F738A4"/>
    <w:rsid w:val="00FB0B7A"/>
    <w:rsid w:val="00FC2EDD"/>
    <w:rsid w:val="00FC3B33"/>
    <w:rsid w:val="00FC6103"/>
    <w:rsid w:val="00FD0F63"/>
    <w:rsid w:val="00FD5145"/>
    <w:rsid w:val="00FE0547"/>
    <w:rsid w:val="00FE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B8A90"/>
  <w15:docId w15:val="{7A8BE7B7-A956-3440-9D61-3C627AC7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CEF"/>
    <w:pPr>
      <w:spacing w:line="240" w:lineRule="auto"/>
    </w:pPr>
    <w:rPr>
      <w:rFonts w:eastAsia="Times New Roman" w:cs="Times New Roman"/>
      <w:sz w:val="26"/>
      <w:szCs w:val="24"/>
    </w:rPr>
  </w:style>
  <w:style w:type="paragraph" w:styleId="Heading1">
    <w:name w:val="heading 1"/>
    <w:basedOn w:val="Normal"/>
    <w:next w:val="Normal"/>
    <w:link w:val="Heading1Char"/>
    <w:qFormat/>
    <w:rsid w:val="00D17CEF"/>
    <w:pPr>
      <w:keepNext/>
      <w:spacing w:before="240" w:after="60"/>
      <w:outlineLvl w:val="0"/>
    </w:pPr>
    <w:rPr>
      <w:rFonts w:ascii="Cambria" w:hAnsi="Cambria"/>
      <w:b/>
      <w:bCs/>
      <w:kern w:val="32"/>
      <w:sz w:val="32"/>
      <w:szCs w:val="32"/>
    </w:rPr>
  </w:style>
  <w:style w:type="paragraph" w:styleId="Heading2">
    <w:name w:val="heading 2"/>
    <w:basedOn w:val="Normal"/>
    <w:link w:val="Heading2Char1"/>
    <w:uiPriority w:val="9"/>
    <w:qFormat/>
    <w:rsid w:val="00D17CE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CEF"/>
    <w:rPr>
      <w:rFonts w:ascii="Cambria" w:eastAsia="Times New Roman" w:hAnsi="Cambria" w:cs="Times New Roman"/>
      <w:b/>
      <w:bCs/>
      <w:kern w:val="32"/>
      <w:sz w:val="32"/>
      <w:szCs w:val="32"/>
    </w:rPr>
  </w:style>
  <w:style w:type="character" w:customStyle="1" w:styleId="Heading2Char">
    <w:name w:val="Heading 2 Char"/>
    <w:basedOn w:val="DefaultParagraphFont"/>
    <w:uiPriority w:val="9"/>
    <w:semiHidden/>
    <w:rsid w:val="00D17CEF"/>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rsid w:val="00D17CEF"/>
    <w:pPr>
      <w:tabs>
        <w:tab w:val="center" w:pos="4320"/>
        <w:tab w:val="right" w:pos="8640"/>
      </w:tabs>
    </w:pPr>
  </w:style>
  <w:style w:type="character" w:customStyle="1" w:styleId="FooterChar">
    <w:name w:val="Footer Char"/>
    <w:basedOn w:val="DefaultParagraphFont"/>
    <w:link w:val="Footer"/>
    <w:uiPriority w:val="99"/>
    <w:rsid w:val="00D17CEF"/>
    <w:rPr>
      <w:rFonts w:eastAsia="Times New Roman" w:cs="Times New Roman"/>
      <w:sz w:val="26"/>
      <w:szCs w:val="24"/>
    </w:rPr>
  </w:style>
  <w:style w:type="character" w:styleId="PageNumber">
    <w:name w:val="page number"/>
    <w:basedOn w:val="DefaultParagraphFont"/>
    <w:rsid w:val="00D17CEF"/>
  </w:style>
  <w:style w:type="character" w:customStyle="1" w:styleId="Heading2Char1">
    <w:name w:val="Heading 2 Char1"/>
    <w:link w:val="Heading2"/>
    <w:uiPriority w:val="9"/>
    <w:rsid w:val="00D17CEF"/>
    <w:rPr>
      <w:rFonts w:eastAsia="Times New Roman" w:cs="Times New Roman"/>
      <w:b/>
      <w:bCs/>
      <w:sz w:val="36"/>
      <w:szCs w:val="36"/>
    </w:rPr>
  </w:style>
  <w:style w:type="paragraph" w:styleId="BodyText">
    <w:name w:val="Body Text"/>
    <w:basedOn w:val="Normal"/>
    <w:link w:val="BodyTextChar"/>
    <w:rsid w:val="00D17CEF"/>
    <w:pPr>
      <w:spacing w:after="120"/>
    </w:pPr>
  </w:style>
  <w:style w:type="character" w:customStyle="1" w:styleId="BodyTextChar">
    <w:name w:val="Body Text Char"/>
    <w:basedOn w:val="DefaultParagraphFont"/>
    <w:link w:val="BodyText"/>
    <w:rsid w:val="00D17CEF"/>
    <w:rPr>
      <w:rFonts w:eastAsia="Times New Roman" w:cs="Times New Roman"/>
      <w:sz w:val="26"/>
      <w:szCs w:val="24"/>
    </w:rPr>
  </w:style>
  <w:style w:type="paragraph" w:styleId="Header">
    <w:name w:val="header"/>
    <w:basedOn w:val="Normal"/>
    <w:link w:val="HeaderChar"/>
    <w:uiPriority w:val="99"/>
    <w:unhideWhenUsed/>
    <w:rsid w:val="00B672BC"/>
    <w:pPr>
      <w:tabs>
        <w:tab w:val="center" w:pos="4680"/>
        <w:tab w:val="right" w:pos="9360"/>
      </w:tabs>
    </w:pPr>
  </w:style>
  <w:style w:type="character" w:customStyle="1" w:styleId="HeaderChar">
    <w:name w:val="Header Char"/>
    <w:basedOn w:val="DefaultParagraphFont"/>
    <w:link w:val="Header"/>
    <w:uiPriority w:val="99"/>
    <w:rsid w:val="00B672BC"/>
    <w:rPr>
      <w:rFonts w:eastAsia="Times New Roman" w:cs="Times New Roman"/>
      <w:sz w:val="26"/>
      <w:szCs w:val="24"/>
    </w:rPr>
  </w:style>
  <w:style w:type="paragraph" w:styleId="BalloonText">
    <w:name w:val="Balloon Text"/>
    <w:basedOn w:val="Normal"/>
    <w:link w:val="BalloonTextChar"/>
    <w:uiPriority w:val="99"/>
    <w:semiHidden/>
    <w:unhideWhenUsed/>
    <w:rsid w:val="00A778D7"/>
    <w:rPr>
      <w:rFonts w:ascii="Tahoma" w:hAnsi="Tahoma" w:cs="Tahoma"/>
      <w:sz w:val="16"/>
      <w:szCs w:val="16"/>
    </w:rPr>
  </w:style>
  <w:style w:type="character" w:customStyle="1" w:styleId="BalloonTextChar">
    <w:name w:val="Balloon Text Char"/>
    <w:basedOn w:val="DefaultParagraphFont"/>
    <w:link w:val="BalloonText"/>
    <w:uiPriority w:val="99"/>
    <w:semiHidden/>
    <w:rsid w:val="00A778D7"/>
    <w:rPr>
      <w:rFonts w:ascii="Tahoma" w:eastAsia="Times New Roman" w:hAnsi="Tahoma" w:cs="Tahoma"/>
      <w:sz w:val="16"/>
      <w:szCs w:val="16"/>
    </w:rPr>
  </w:style>
  <w:style w:type="table" w:styleId="TableGrid">
    <w:name w:val="Table Grid"/>
    <w:basedOn w:val="TableNormal"/>
    <w:uiPriority w:val="59"/>
    <w:rsid w:val="003B03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997"/>
    <w:pPr>
      <w:ind w:left="720"/>
      <w:contextualSpacing/>
    </w:pPr>
  </w:style>
  <w:style w:type="character" w:styleId="Hyperlink">
    <w:name w:val="Hyperlink"/>
    <w:basedOn w:val="DefaultParagraphFont"/>
    <w:uiPriority w:val="99"/>
    <w:unhideWhenUsed/>
    <w:rsid w:val="00E074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ichvucong.gov.vn/p/home/dvc-tthc-thu-tuc-hanh-chinh-chi-tiet.html?ma_thu_tuc=440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1433-5FA1-4689-932E-6C78B38C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10</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0942.958.333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Dinh Phuc</dc:creator>
  <cp:lastModifiedBy>READY</cp:lastModifiedBy>
  <cp:revision>24</cp:revision>
  <cp:lastPrinted>2023-11-30T00:51:00Z</cp:lastPrinted>
  <dcterms:created xsi:type="dcterms:W3CDTF">2023-11-30T08:09:00Z</dcterms:created>
  <dcterms:modified xsi:type="dcterms:W3CDTF">2024-06-21T01:43:00Z</dcterms:modified>
</cp:coreProperties>
</file>